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2" w:rsidRPr="00A72626" w:rsidRDefault="004F545D" w:rsidP="00702C22">
      <w:pPr>
        <w:rPr>
          <w:b/>
          <w:lang w:val="en-GB"/>
        </w:rPr>
      </w:pPr>
      <w:r>
        <w:rPr>
          <w:b/>
          <w:lang w:val="en-GB"/>
        </w:rPr>
        <w:t xml:space="preserve">Additional file 1: </w:t>
      </w:r>
      <w:r w:rsidR="00702C22" w:rsidRPr="00A72626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="00702C22" w:rsidRPr="00A72626">
        <w:rPr>
          <w:b/>
          <w:lang w:val="en-GB"/>
        </w:rPr>
        <w:t xml:space="preserve">1: Comparison between those with valid responses on ADI-4 (75.7%) versus those with one or more missing </w:t>
      </w:r>
      <w:r w:rsidR="00EB2068">
        <w:rPr>
          <w:b/>
          <w:lang w:val="en-GB"/>
        </w:rPr>
        <w:t>components</w:t>
      </w:r>
      <w:r w:rsidR="008A235C">
        <w:rPr>
          <w:b/>
          <w:lang w:val="en-GB"/>
        </w:rPr>
        <w:t xml:space="preserve"> </w:t>
      </w:r>
      <w:r w:rsidR="00702C22" w:rsidRPr="00A72626">
        <w:rPr>
          <w:b/>
          <w:lang w:val="en-GB"/>
        </w:rPr>
        <w:t>o</w:t>
      </w:r>
      <w:r w:rsidR="00EB2068">
        <w:rPr>
          <w:b/>
          <w:lang w:val="en-GB"/>
        </w:rPr>
        <w:t>f</w:t>
      </w:r>
      <w:r w:rsidR="00702C22" w:rsidRPr="00A72626">
        <w:rPr>
          <w:b/>
          <w:lang w:val="en-GB"/>
        </w:rPr>
        <w:t xml:space="preserve"> ADI-4 (24.3%). N=40,803.</w:t>
      </w:r>
    </w:p>
    <w:tbl>
      <w:tblPr>
        <w:tblStyle w:val="Academic"/>
        <w:tblW w:w="0" w:type="auto"/>
        <w:tblLook w:val="04A0"/>
      </w:tblPr>
      <w:tblGrid>
        <w:gridCol w:w="3279"/>
        <w:gridCol w:w="2552"/>
        <w:gridCol w:w="2597"/>
        <w:gridCol w:w="860"/>
      </w:tblGrid>
      <w:tr w:rsidR="00702C22" w:rsidRPr="00A72626" w:rsidTr="005D670C">
        <w:trPr>
          <w:cnfStyle w:val="100000000000"/>
        </w:trPr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Valid responses on ADI-4 (n=30,902)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Missing responses on ADI-4 (n=9,901)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p-value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Age (SE)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43.8 (0.1)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43.3 (0.1)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tabs>
                <w:tab w:val="left" w:pos="914"/>
              </w:tabs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&lt;0.001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Gender (% female)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49.9%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49.1%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jc w:val="center"/>
              <w:rPr>
                <w:lang w:val="en-GB"/>
              </w:rPr>
            </w:pPr>
            <w:r w:rsidRPr="00A72626">
              <w:rPr>
                <w:lang w:val="en-GB"/>
              </w:rPr>
              <w:t>0.191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Marital status (% married)</w:t>
            </w:r>
            <w:r w:rsidRPr="00A72626">
              <w:rPr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83.2%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80.1%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tabs>
                <w:tab w:val="left" w:pos="914"/>
              </w:tabs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&lt;0.001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Diastolic blood pressure (SE)</w:t>
            </w:r>
            <w:r w:rsidRPr="00A72626">
              <w:rPr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84.0 (0.1)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84.4 (0.1)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0.003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Systolic blood pressure (SE)</w:t>
            </w:r>
            <w:r w:rsidRPr="00A72626">
              <w:rPr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131.8 (0.1)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132.5 (0.2)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0.003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CVD indicators (% &gt;1)</w:t>
            </w:r>
            <w:r w:rsidRPr="00A72626">
              <w:rPr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9.1%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9.4%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jc w:val="center"/>
              <w:rPr>
                <w:lang w:val="en-GB"/>
              </w:rPr>
            </w:pPr>
            <w:r w:rsidRPr="00A72626">
              <w:rPr>
                <w:lang w:val="en-GB"/>
              </w:rPr>
              <w:t>0.304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Alcohol consumption (% 1-4 times last 14 days)</w:t>
            </w:r>
            <w:r w:rsidRPr="00A72626">
              <w:rPr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43.8%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30.0%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tabs>
                <w:tab w:val="left" w:pos="914"/>
              </w:tabs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&lt;0.001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702C22" w:rsidP="00EB2068">
            <w:pPr>
              <w:rPr>
                <w:lang w:val="en-GB"/>
              </w:rPr>
            </w:pPr>
            <w:r w:rsidRPr="00A72626">
              <w:rPr>
                <w:lang w:val="en-GB"/>
              </w:rPr>
              <w:t>Daily smoking (%)</w:t>
            </w:r>
            <w:r w:rsidRPr="00A72626">
              <w:rPr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35.4%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30.4%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tabs>
                <w:tab w:val="left" w:pos="914"/>
              </w:tabs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&lt;0.001</w:t>
            </w:r>
          </w:p>
        </w:tc>
      </w:tr>
      <w:tr w:rsidR="00702C22" w:rsidRPr="00A72626" w:rsidTr="005D670C">
        <w:tc>
          <w:tcPr>
            <w:tcW w:w="0" w:type="auto"/>
          </w:tcPr>
          <w:p w:rsidR="00702C22" w:rsidRPr="00A72626" w:rsidRDefault="00457367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Exercise</w:t>
            </w:r>
            <w:r w:rsidR="00702C22" w:rsidRPr="00A72626">
              <w:rPr>
                <w:lang w:val="en-GB"/>
              </w:rPr>
              <w:t xml:space="preserve"> (% never)</w:t>
            </w:r>
            <w:r w:rsidR="00702C22" w:rsidRPr="00A72626">
              <w:rPr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10.0%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14.7%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tabs>
                <w:tab w:val="left" w:pos="914"/>
              </w:tabs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&lt;0.001</w:t>
            </w:r>
          </w:p>
        </w:tc>
      </w:tr>
      <w:tr w:rsidR="00702C22" w:rsidRPr="00A72626" w:rsidTr="003F6730">
        <w:tc>
          <w:tcPr>
            <w:tcW w:w="0" w:type="auto"/>
          </w:tcPr>
          <w:p w:rsidR="00702C22" w:rsidRPr="00A72626" w:rsidRDefault="00702C22" w:rsidP="00EB2068">
            <w:pPr>
              <w:rPr>
                <w:lang w:val="en-GB"/>
              </w:rPr>
            </w:pPr>
            <w:r w:rsidRPr="00A72626">
              <w:rPr>
                <w:lang w:val="en-GB"/>
              </w:rPr>
              <w:t>Higher education</w:t>
            </w:r>
            <w:r w:rsidR="00EB2068">
              <w:rPr>
                <w:lang w:val="en-GB"/>
              </w:rPr>
              <w:t xml:space="preserve"> (%</w:t>
            </w:r>
            <w:r w:rsidRPr="00A72626">
              <w:rPr>
                <w:lang w:val="en-GB"/>
              </w:rPr>
              <w:t xml:space="preserve"> 4-years at university-level)</w:t>
            </w:r>
            <w:r w:rsidRPr="00A72626">
              <w:rPr>
                <w:vertAlign w:val="superscript"/>
                <w:lang w:val="en-GB"/>
              </w:rPr>
              <w:t xml:space="preserve"> a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6.0%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rPr>
                <w:lang w:val="en-GB"/>
              </w:rPr>
            </w:pPr>
            <w:r w:rsidRPr="00A72626">
              <w:rPr>
                <w:lang w:val="en-GB"/>
              </w:rPr>
              <w:t>4.2%</w:t>
            </w:r>
          </w:p>
        </w:tc>
        <w:tc>
          <w:tcPr>
            <w:tcW w:w="0" w:type="auto"/>
          </w:tcPr>
          <w:p w:rsidR="00702C22" w:rsidRPr="00A72626" w:rsidRDefault="00702C22" w:rsidP="005D670C">
            <w:pPr>
              <w:jc w:val="center"/>
              <w:rPr>
                <w:b/>
                <w:lang w:val="en-GB"/>
              </w:rPr>
            </w:pPr>
            <w:r w:rsidRPr="00A72626">
              <w:rPr>
                <w:b/>
                <w:lang w:val="en-GB"/>
              </w:rPr>
              <w:t>0.003</w:t>
            </w:r>
          </w:p>
        </w:tc>
      </w:tr>
      <w:tr w:rsidR="003F6730" w:rsidRPr="00A72626" w:rsidTr="005D670C">
        <w:tc>
          <w:tcPr>
            <w:tcW w:w="0" w:type="auto"/>
            <w:tcBorders>
              <w:bottom w:val="single" w:sz="4" w:space="0" w:color="auto"/>
            </w:tcBorders>
          </w:tcPr>
          <w:p w:rsidR="003F6730" w:rsidRPr="00A72626" w:rsidRDefault="003F6730" w:rsidP="00EB2068">
            <w:pPr>
              <w:rPr>
                <w:lang w:val="en-GB"/>
              </w:rPr>
            </w:pPr>
            <w:r w:rsidRPr="00A72626">
              <w:rPr>
                <w:lang w:val="en-GB"/>
              </w:rPr>
              <w:t>Dementia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6730" w:rsidRPr="00A72626" w:rsidRDefault="003F6730" w:rsidP="003F6730">
            <w:pPr>
              <w:rPr>
                <w:lang w:val="en-GB"/>
              </w:rPr>
            </w:pPr>
            <w:r w:rsidRPr="00A72626">
              <w:rPr>
                <w:lang w:val="en-GB"/>
              </w:rPr>
              <w:t>1.2%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6730" w:rsidRPr="00A72626" w:rsidRDefault="003F6730" w:rsidP="003F6730">
            <w:pPr>
              <w:rPr>
                <w:lang w:val="en-GB"/>
              </w:rPr>
            </w:pPr>
            <w:r w:rsidRPr="00A72626">
              <w:rPr>
                <w:lang w:val="en-GB"/>
              </w:rPr>
              <w:t>1.4%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6730" w:rsidRPr="00A72626" w:rsidRDefault="003F6730" w:rsidP="003F6730">
            <w:pPr>
              <w:jc w:val="center"/>
              <w:rPr>
                <w:lang w:val="en-GB"/>
              </w:rPr>
            </w:pPr>
            <w:r w:rsidRPr="00A72626">
              <w:rPr>
                <w:lang w:val="en-GB"/>
              </w:rPr>
              <w:t>0.101</w:t>
            </w:r>
          </w:p>
        </w:tc>
      </w:tr>
    </w:tbl>
    <w:p w:rsidR="00702C22" w:rsidRPr="00A72626" w:rsidRDefault="00702C22" w:rsidP="00702C22">
      <w:pPr>
        <w:spacing w:after="0" w:line="240" w:lineRule="auto"/>
        <w:rPr>
          <w:sz w:val="16"/>
          <w:szCs w:val="16"/>
          <w:lang w:val="en-GB"/>
        </w:rPr>
      </w:pPr>
      <w:proofErr w:type="gramStart"/>
      <w:r w:rsidRPr="00A72626">
        <w:rPr>
          <w:sz w:val="16"/>
          <w:szCs w:val="16"/>
          <w:vertAlign w:val="superscript"/>
          <w:lang w:val="en-GB"/>
        </w:rPr>
        <w:t>a</w:t>
      </w:r>
      <w:proofErr w:type="gramEnd"/>
      <w:r w:rsidRPr="00A72626">
        <w:rPr>
          <w:sz w:val="16"/>
          <w:szCs w:val="16"/>
          <w:vertAlign w:val="superscript"/>
          <w:lang w:val="en-GB"/>
        </w:rPr>
        <w:t xml:space="preserve"> </w:t>
      </w:r>
      <w:r w:rsidRPr="00A72626">
        <w:rPr>
          <w:sz w:val="16"/>
          <w:szCs w:val="16"/>
          <w:lang w:val="en-GB"/>
        </w:rPr>
        <w:t>missing values imputed using multiple imputations procedure</w:t>
      </w:r>
    </w:p>
    <w:p w:rsidR="00702C22" w:rsidRPr="00A72626" w:rsidRDefault="00702C22" w:rsidP="00702C22">
      <w:pPr>
        <w:spacing w:after="0" w:line="240" w:lineRule="auto"/>
        <w:rPr>
          <w:sz w:val="16"/>
          <w:szCs w:val="16"/>
          <w:lang w:val="en-GB"/>
        </w:rPr>
      </w:pPr>
      <w:r w:rsidRPr="00A72626">
        <w:rPr>
          <w:sz w:val="16"/>
          <w:szCs w:val="16"/>
          <w:vertAlign w:val="superscript"/>
          <w:lang w:val="en-GB"/>
        </w:rPr>
        <w:t xml:space="preserve">b </w:t>
      </w:r>
      <w:r w:rsidRPr="00A72626">
        <w:rPr>
          <w:sz w:val="16"/>
          <w:szCs w:val="16"/>
          <w:lang w:val="en-GB"/>
        </w:rPr>
        <w:t>Based on affirmative on one or more of the following: “use of anti-hypertensive medication”, “diabetes”, “heart attack”, “angina pectoris”, “stroke”.</w:t>
      </w:r>
    </w:p>
    <w:p w:rsidR="00702C22" w:rsidRPr="00A72626" w:rsidRDefault="00702C22">
      <w:pPr>
        <w:rPr>
          <w:lang w:val="en-GB"/>
        </w:rPr>
      </w:pPr>
    </w:p>
    <w:p w:rsidR="00580F8B" w:rsidRPr="00A72626" w:rsidRDefault="00580F8B">
      <w:pPr>
        <w:rPr>
          <w:lang w:val="en-GB"/>
        </w:rPr>
      </w:pPr>
      <w:r w:rsidRPr="00A72626">
        <w:rPr>
          <w:lang w:val="en-GB"/>
        </w:rPr>
        <w:t xml:space="preserve">Comment: </w:t>
      </w:r>
      <w:r w:rsidR="00D545F8" w:rsidRPr="00A72626">
        <w:rPr>
          <w:lang w:val="en-GB"/>
        </w:rPr>
        <w:t xml:space="preserve">Those who had missing responses on ADI-4 were somewhat younger (0.5 years), were less likely to be married, had higher blood pressure, and were less likely to report 1-4 times of alcohol consumption last 14 days. They also reported less smoking, lower levels of </w:t>
      </w:r>
      <w:r w:rsidR="00457367" w:rsidRPr="00A72626">
        <w:rPr>
          <w:lang w:val="en-GB"/>
        </w:rPr>
        <w:t>exercise</w:t>
      </w:r>
      <w:r w:rsidR="00D545F8" w:rsidRPr="00A72626">
        <w:rPr>
          <w:lang w:val="en-GB"/>
        </w:rPr>
        <w:t xml:space="preserve"> and </w:t>
      </w:r>
      <w:r w:rsidR="003E2EC5">
        <w:rPr>
          <w:lang w:val="en-GB"/>
        </w:rPr>
        <w:t>educational attainment</w:t>
      </w:r>
      <w:r w:rsidR="00D545F8" w:rsidRPr="00A72626">
        <w:rPr>
          <w:lang w:val="en-GB"/>
        </w:rPr>
        <w:t>.</w:t>
      </w:r>
      <w:r w:rsidR="008A235C">
        <w:rPr>
          <w:lang w:val="en-GB"/>
        </w:rPr>
        <w:t xml:space="preserve"> There were no differences in relation to dementia status between those with and without valid responses on ADI-4.</w:t>
      </w:r>
    </w:p>
    <w:p w:rsidR="00580F8B" w:rsidRPr="00A72626" w:rsidRDefault="00580F8B">
      <w:pPr>
        <w:rPr>
          <w:lang w:val="en-GB"/>
        </w:rPr>
      </w:pPr>
      <w:r w:rsidRPr="00A72626">
        <w:rPr>
          <w:lang w:val="en-GB"/>
        </w:rPr>
        <w:br w:type="page"/>
      </w:r>
    </w:p>
    <w:p w:rsidR="00580F8B" w:rsidRPr="00A72626" w:rsidRDefault="00580F8B">
      <w:pPr>
        <w:rPr>
          <w:lang w:val="en-GB"/>
        </w:rPr>
        <w:sectPr w:rsidR="00580F8B" w:rsidRPr="00A726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45F8" w:rsidRPr="00533025" w:rsidRDefault="004F545D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Additional file 1: </w:t>
      </w:r>
      <w:r w:rsidR="00580F8B" w:rsidRPr="00533025">
        <w:rPr>
          <w:b/>
          <w:lang w:val="en-GB"/>
        </w:rPr>
        <w:t xml:space="preserve">Figure </w:t>
      </w:r>
      <w:r>
        <w:rPr>
          <w:b/>
          <w:lang w:val="en-GB"/>
        </w:rPr>
        <w:t>S</w:t>
      </w:r>
      <w:r w:rsidR="00580F8B" w:rsidRPr="00533025">
        <w:rPr>
          <w:b/>
          <w:lang w:val="en-GB"/>
        </w:rPr>
        <w:t>1: Predicted estimated probability of dementia across ADI-4 percentiles (N=30,902).</w:t>
      </w:r>
    </w:p>
    <w:p w:rsidR="00580F8B" w:rsidRPr="00A72626" w:rsidRDefault="00580F8B">
      <w:pPr>
        <w:rPr>
          <w:lang w:val="en-GB"/>
        </w:rPr>
      </w:pPr>
      <w:r w:rsidRPr="00A72626">
        <w:rPr>
          <w:b/>
          <w:noProof/>
          <w:lang w:val="en-US"/>
        </w:rPr>
        <w:drawing>
          <wp:inline distT="0" distB="0" distL="0" distR="0">
            <wp:extent cx="7383600" cy="54216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F8B" w:rsidRPr="00A72626" w:rsidSect="00580F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17D87"/>
    <w:rsid w:val="001D6104"/>
    <w:rsid w:val="003E2EC5"/>
    <w:rsid w:val="003F6730"/>
    <w:rsid w:val="00457367"/>
    <w:rsid w:val="00475B2A"/>
    <w:rsid w:val="004F545D"/>
    <w:rsid w:val="00533025"/>
    <w:rsid w:val="00580F8B"/>
    <w:rsid w:val="00702C22"/>
    <w:rsid w:val="00817D87"/>
    <w:rsid w:val="00891303"/>
    <w:rsid w:val="008A235C"/>
    <w:rsid w:val="009753A0"/>
    <w:rsid w:val="00A72626"/>
    <w:rsid w:val="00BF5EE7"/>
    <w:rsid w:val="00CA28CA"/>
    <w:rsid w:val="00CB66A4"/>
    <w:rsid w:val="00D545F8"/>
    <w:rsid w:val="00EB2068"/>
    <w:rsid w:val="00F2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ademic">
    <w:name w:val="Academic"/>
    <w:basedOn w:val="TableNormal"/>
    <w:uiPriority w:val="99"/>
    <w:rsid w:val="00F23CA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leGrid">
    <w:name w:val="Table Grid"/>
    <w:basedOn w:val="TableNormal"/>
    <w:uiPriority w:val="39"/>
    <w:rsid w:val="0081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6871-FA7D-4855-A64B-DBC28CF3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Christoffer Skogen</dc:creator>
  <cp:keywords/>
  <dc:description/>
  <cp:lastModifiedBy>jbanggos</cp:lastModifiedBy>
  <cp:revision>3</cp:revision>
  <dcterms:created xsi:type="dcterms:W3CDTF">2014-12-10T08:54:00Z</dcterms:created>
  <dcterms:modified xsi:type="dcterms:W3CDTF">2015-02-27T01:59:00Z</dcterms:modified>
</cp:coreProperties>
</file>