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616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844"/>
        <w:gridCol w:w="708"/>
        <w:gridCol w:w="284"/>
        <w:gridCol w:w="1417"/>
        <w:gridCol w:w="284"/>
        <w:gridCol w:w="567"/>
        <w:gridCol w:w="283"/>
        <w:gridCol w:w="1418"/>
        <w:gridCol w:w="283"/>
        <w:gridCol w:w="567"/>
        <w:gridCol w:w="284"/>
        <w:gridCol w:w="1417"/>
        <w:gridCol w:w="236"/>
        <w:gridCol w:w="615"/>
        <w:gridCol w:w="283"/>
        <w:gridCol w:w="1457"/>
        <w:gridCol w:w="251"/>
        <w:gridCol w:w="551"/>
        <w:gridCol w:w="233"/>
        <w:gridCol w:w="1477"/>
        <w:gridCol w:w="284"/>
        <w:gridCol w:w="1134"/>
      </w:tblGrid>
      <w:tr w:rsidR="00C024FA" w:rsidRPr="00B30A0C" w:rsidTr="006E3B23">
        <w:tc>
          <w:tcPr>
            <w:tcW w:w="16160" w:type="dxa"/>
            <w:gridSpan w:val="23"/>
          </w:tcPr>
          <w:p w:rsidR="00C024FA" w:rsidRPr="00C45940" w:rsidRDefault="003F437C" w:rsidP="00F7668C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b/>
                <w:lang w:val="en-US"/>
              </w:rPr>
              <w:t>Supplemental T</w:t>
            </w:r>
            <w:r w:rsidR="00F7668C">
              <w:rPr>
                <w:b/>
                <w:lang w:val="en-US"/>
              </w:rPr>
              <w:t>able 1</w:t>
            </w:r>
            <w:r w:rsidR="00C024FA" w:rsidRPr="00C45940">
              <w:rPr>
                <w:b/>
                <w:lang w:val="en-US"/>
              </w:rPr>
              <w:t xml:space="preserve">. </w:t>
            </w:r>
            <w:r w:rsidR="00862DDC">
              <w:rPr>
                <w:b/>
                <w:lang w:val="en-US"/>
              </w:rPr>
              <w:t>Study population according to extent of coronary artery disease at baseline</w:t>
            </w:r>
          </w:p>
        </w:tc>
      </w:tr>
      <w:tr w:rsidR="000C3346" w:rsidRPr="008860D2" w:rsidTr="006E3B23">
        <w:tc>
          <w:tcPr>
            <w:tcW w:w="2127" w:type="dxa"/>
            <w:gridSpan w:val="2"/>
          </w:tcPr>
          <w:p w:rsidR="000C3346" w:rsidRPr="00C45940" w:rsidRDefault="000C3346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0C3346" w:rsidRDefault="000C3346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84" w:type="dxa"/>
          </w:tcPr>
          <w:p w:rsidR="000C3346" w:rsidRPr="005630DF" w:rsidRDefault="000C3346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9922" w:type="dxa"/>
            <w:gridSpan w:val="15"/>
          </w:tcPr>
          <w:p w:rsidR="000C3346" w:rsidRDefault="008860D2" w:rsidP="00E4376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Severity of coronary artery disease</w:t>
            </w:r>
            <w:r w:rsidR="000C3346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at baseline</w:t>
            </w:r>
          </w:p>
        </w:tc>
        <w:tc>
          <w:tcPr>
            <w:tcW w:w="284" w:type="dxa"/>
          </w:tcPr>
          <w:p w:rsidR="000C3346" w:rsidRDefault="000C3346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3346" w:rsidRDefault="000C3346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F40EC1" w:rsidRPr="00F7668C" w:rsidTr="006E3B23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F1EED" w:rsidRPr="00C45940" w:rsidRDefault="00CF1EED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CF1EED" w:rsidRPr="005630DF" w:rsidRDefault="00CF1EED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1EED" w:rsidRPr="005630DF" w:rsidRDefault="00CF1EED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F1EED" w:rsidRDefault="00A7587E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CAD 0</w:t>
            </w:r>
          </w:p>
          <w:p w:rsidR="008860D2" w:rsidRPr="005630DF" w:rsidRDefault="008860D2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(n=926)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1EED" w:rsidRPr="005630DF" w:rsidRDefault="00CF1EED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F1EED" w:rsidRDefault="00A7587E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CAD 1</w:t>
            </w:r>
          </w:p>
          <w:p w:rsidR="008860D2" w:rsidRPr="005630DF" w:rsidRDefault="008860D2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(n=843)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1EED" w:rsidRPr="005630DF" w:rsidRDefault="00CF1EED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</w:tcPr>
          <w:p w:rsidR="00CF1EED" w:rsidRDefault="00A7587E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CAD 2</w:t>
            </w:r>
          </w:p>
          <w:p w:rsidR="008860D2" w:rsidRPr="005630DF" w:rsidRDefault="008860D2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(n=800)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CF1EED" w:rsidRPr="005630DF" w:rsidRDefault="00CF1EED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:rsidR="00CF1EED" w:rsidRDefault="00A7587E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CAD 3</w:t>
            </w:r>
          </w:p>
          <w:p w:rsidR="008860D2" w:rsidRPr="005630DF" w:rsidRDefault="00E43763" w:rsidP="008860D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(n=999</w:t>
            </w:r>
            <w:bookmarkStart w:id="0" w:name="_GoBack"/>
            <w:bookmarkEnd w:id="0"/>
            <w:r w:rsidR="008860D2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1EED" w:rsidRDefault="00CF1EED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1EED" w:rsidRPr="005630DF" w:rsidRDefault="00CF1EED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</w:t>
            </w:r>
            <w:r w:rsidRPr="005630DF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nb-NO"/>
              </w:rPr>
              <w:t>trend</w:t>
            </w:r>
            <w:r w:rsidR="00575137" w:rsidRPr="00575137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**</w:t>
            </w:r>
          </w:p>
        </w:tc>
      </w:tr>
      <w:tr w:rsidR="006E3B23" w:rsidRPr="00F7668C" w:rsidTr="006E3B23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024FA" w:rsidRPr="00197A0D" w:rsidRDefault="002D2BD0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197A0D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6E3B23" w:rsidTr="006E3B23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A51FF" w:rsidRPr="00197A0D" w:rsidRDefault="00C35591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Hs-cTnT</w:t>
            </w:r>
            <w:r w:rsidR="00785F5B" w:rsidRPr="00197A0D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785F5B" w:rsidRPr="00197A0D">
              <w:rPr>
                <w:lang w:val="en-US"/>
              </w:rPr>
              <w:t>ng/L</w:t>
            </w:r>
            <w:r>
              <w:rPr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A51FF" w:rsidRPr="00197A0D" w:rsidRDefault="00785F5B" w:rsidP="00D408EF">
            <w:pPr>
              <w:spacing w:line="480" w:lineRule="auto"/>
              <w:jc w:val="center"/>
              <w:rPr>
                <w:lang w:val="en-US"/>
              </w:rPr>
            </w:pPr>
            <w:r w:rsidRPr="00197A0D">
              <w:rPr>
                <w:lang w:val="en-US"/>
              </w:rPr>
              <w:t>3568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A51FF" w:rsidRPr="00197A0D" w:rsidRDefault="005A51FF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1FF" w:rsidRPr="00197A0D" w:rsidRDefault="00785F5B" w:rsidP="00D408EF">
            <w:pPr>
              <w:spacing w:line="480" w:lineRule="auto"/>
              <w:jc w:val="center"/>
              <w:rPr>
                <w:lang w:val="en-US"/>
              </w:rPr>
            </w:pPr>
            <w:r w:rsidRPr="00197A0D">
              <w:rPr>
                <w:lang w:val="en-US"/>
              </w:rPr>
              <w:t>4 (4-9)</w:t>
            </w:r>
          </w:p>
        </w:tc>
        <w:tc>
          <w:tcPr>
            <w:tcW w:w="284" w:type="dxa"/>
          </w:tcPr>
          <w:p w:rsidR="005A51FF" w:rsidRPr="00197A0D" w:rsidRDefault="005A51FF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A51FF" w:rsidRPr="00197A0D" w:rsidRDefault="00785F5B" w:rsidP="00D408EF">
            <w:pPr>
              <w:spacing w:line="480" w:lineRule="auto"/>
              <w:jc w:val="center"/>
              <w:rPr>
                <w:lang w:val="en-US"/>
              </w:rPr>
            </w:pPr>
            <w:r w:rsidRPr="00197A0D">
              <w:rPr>
                <w:lang w:val="en-US"/>
              </w:rPr>
              <w:t>926</w:t>
            </w:r>
          </w:p>
        </w:tc>
        <w:tc>
          <w:tcPr>
            <w:tcW w:w="283" w:type="dxa"/>
          </w:tcPr>
          <w:p w:rsidR="005A51FF" w:rsidRPr="00197A0D" w:rsidRDefault="005A51FF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A51FF" w:rsidRPr="00197A0D" w:rsidRDefault="00785F5B" w:rsidP="00D408EF">
            <w:pPr>
              <w:spacing w:line="480" w:lineRule="auto"/>
              <w:jc w:val="center"/>
              <w:rPr>
                <w:lang w:val="en-US"/>
              </w:rPr>
            </w:pPr>
            <w:r w:rsidRPr="00197A0D">
              <w:rPr>
                <w:lang w:val="en-US"/>
              </w:rPr>
              <w:t>3 (3-6)</w:t>
            </w:r>
          </w:p>
        </w:tc>
        <w:tc>
          <w:tcPr>
            <w:tcW w:w="283" w:type="dxa"/>
          </w:tcPr>
          <w:p w:rsidR="005A51FF" w:rsidRPr="00197A0D" w:rsidRDefault="005A51FF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A51FF" w:rsidRPr="00197A0D" w:rsidRDefault="00785F5B" w:rsidP="00D408EF">
            <w:pPr>
              <w:spacing w:line="480" w:lineRule="auto"/>
              <w:jc w:val="center"/>
              <w:rPr>
                <w:lang w:val="en-US"/>
              </w:rPr>
            </w:pPr>
            <w:r w:rsidRPr="00197A0D"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5A51FF" w:rsidRPr="00197A0D" w:rsidRDefault="005A51FF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A51FF" w:rsidRDefault="00785F5B" w:rsidP="00942B9D">
            <w:pPr>
              <w:spacing w:line="480" w:lineRule="auto"/>
              <w:jc w:val="center"/>
            </w:pPr>
            <w:r w:rsidRPr="00197A0D">
              <w:rPr>
                <w:lang w:val="en-US"/>
              </w:rPr>
              <w:t>3 (</w:t>
            </w:r>
            <w:r>
              <w:t>3-7)</w:t>
            </w:r>
          </w:p>
        </w:tc>
        <w:tc>
          <w:tcPr>
            <w:tcW w:w="236" w:type="dxa"/>
          </w:tcPr>
          <w:p w:rsidR="005A51FF" w:rsidRDefault="005A51FF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5A51FF" w:rsidRDefault="00785F5B" w:rsidP="006E3B23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5A51FF" w:rsidRDefault="005A51FF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5A51FF" w:rsidRDefault="00785F5B" w:rsidP="00285FE1">
            <w:pPr>
              <w:spacing w:line="480" w:lineRule="auto"/>
              <w:jc w:val="center"/>
            </w:pPr>
            <w:r>
              <w:t>5 (3-10)</w:t>
            </w:r>
          </w:p>
        </w:tc>
        <w:tc>
          <w:tcPr>
            <w:tcW w:w="251" w:type="dxa"/>
          </w:tcPr>
          <w:p w:rsidR="005A51FF" w:rsidRDefault="005A51FF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5A51FF" w:rsidRDefault="00785F5B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5A51FF" w:rsidRDefault="005A51FF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5A51FF" w:rsidRDefault="00785F5B" w:rsidP="00D408EF">
            <w:pPr>
              <w:spacing w:line="480" w:lineRule="auto"/>
              <w:jc w:val="center"/>
            </w:pPr>
            <w:r>
              <w:t>6 (3-11)</w:t>
            </w:r>
          </w:p>
        </w:tc>
        <w:tc>
          <w:tcPr>
            <w:tcW w:w="284" w:type="dxa"/>
          </w:tcPr>
          <w:p w:rsidR="005A51FF" w:rsidRDefault="005A51FF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5A51FF" w:rsidRDefault="005A51FF" w:rsidP="00574218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Default="00C35591" w:rsidP="00D408EF">
            <w:pPr>
              <w:spacing w:line="480" w:lineRule="auto"/>
            </w:pPr>
            <w:r>
              <w:t>Age (</w:t>
            </w:r>
            <w:r w:rsidR="00C024FA">
              <w:t>years</w:t>
            </w:r>
            <w:r>
              <w:t>)</w:t>
            </w:r>
          </w:p>
        </w:tc>
        <w:tc>
          <w:tcPr>
            <w:tcW w:w="708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61</w:t>
            </w:r>
            <w:r w:rsidR="006102D9">
              <w:t xml:space="preserve"> (54-69)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926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57 (50</w:t>
            </w:r>
            <w:r w:rsidR="006102D9">
              <w:t>-64)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843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942B9D" w:rsidP="00942B9D">
            <w:pPr>
              <w:spacing w:line="480" w:lineRule="auto"/>
              <w:jc w:val="center"/>
            </w:pPr>
            <w:r>
              <w:t>60</w:t>
            </w:r>
            <w:r w:rsidR="00172347">
              <w:t xml:space="preserve"> (5</w:t>
            </w:r>
            <w:r>
              <w:t>3</w:t>
            </w:r>
            <w:r w:rsidR="00172347">
              <w:t>-</w:t>
            </w:r>
            <w:r>
              <w:t>67</w:t>
            </w:r>
            <w:r w:rsidR="006102D9"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285FE1" w:rsidP="00285FE1">
            <w:pPr>
              <w:spacing w:line="480" w:lineRule="auto"/>
              <w:jc w:val="center"/>
            </w:pPr>
            <w:r>
              <w:t>62</w:t>
            </w:r>
            <w:r w:rsidR="006102D9">
              <w:t xml:space="preserve"> (</w:t>
            </w:r>
            <w:r>
              <w:t>55-70</w:t>
            </w:r>
            <w:r w:rsidR="006102D9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66</w:t>
            </w:r>
            <w:r w:rsidR="00172347">
              <w:t>(59</w:t>
            </w:r>
            <w:r>
              <w:t>-72</w:t>
            </w:r>
            <w:r w:rsidR="006102D9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5A51FF" w:rsidP="00574218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RPr="00B9214A" w:rsidTr="006E3B23">
        <w:tc>
          <w:tcPr>
            <w:tcW w:w="2127" w:type="dxa"/>
            <w:gridSpan w:val="2"/>
          </w:tcPr>
          <w:p w:rsidR="00C024FA" w:rsidRDefault="00BE6804" w:rsidP="00BE6804">
            <w:pPr>
              <w:spacing w:line="480" w:lineRule="auto"/>
            </w:pPr>
            <w:r>
              <w:t>Women</w:t>
            </w:r>
          </w:p>
        </w:tc>
        <w:tc>
          <w:tcPr>
            <w:tcW w:w="708" w:type="dxa"/>
          </w:tcPr>
          <w:p w:rsidR="00C024FA" w:rsidRDefault="007D077D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Pr="00FD0EA2" w:rsidRDefault="007D077D" w:rsidP="007D077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1033</w:t>
            </w:r>
            <w:r w:rsidR="00F40EC1">
              <w:rPr>
                <w:lang w:val="en-US"/>
              </w:rPr>
              <w:t xml:space="preserve"> </w:t>
            </w:r>
            <w:r w:rsidR="00FD0EA2">
              <w:rPr>
                <w:lang w:val="en-US"/>
              </w:rPr>
              <w:t>(</w:t>
            </w:r>
            <w:r>
              <w:rPr>
                <w:lang w:val="en-US"/>
              </w:rPr>
              <w:t>30.0</w:t>
            </w:r>
            <w:r w:rsidR="006E3B23">
              <w:rPr>
                <w:lang w:val="en-US"/>
              </w:rPr>
              <w:t>%</w:t>
            </w:r>
            <w:r w:rsidR="00FD0EA2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FD0EA2" w:rsidRDefault="00EA5A7F" w:rsidP="00EA5A7F">
            <w:pPr>
              <w:spacing w:line="480" w:lineRule="auto"/>
              <w:jc w:val="center"/>
              <w:rPr>
                <w:lang w:val="en-US"/>
              </w:rPr>
            </w:pPr>
            <w:r>
              <w:t>926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FD0EA2" w:rsidRDefault="00EA5A7F" w:rsidP="00EA5A7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469</w:t>
            </w:r>
            <w:r w:rsidR="007D077D">
              <w:rPr>
                <w:lang w:val="en-US"/>
              </w:rPr>
              <w:t xml:space="preserve"> (</w:t>
            </w:r>
            <w:r>
              <w:rPr>
                <w:lang w:val="en-US"/>
              </w:rPr>
              <w:t>50.6</w:t>
            </w:r>
            <w:r w:rsidR="006E3B23">
              <w:rPr>
                <w:lang w:val="en-US"/>
              </w:rPr>
              <w:t>%</w:t>
            </w:r>
            <w:r w:rsidR="00B9214A" w:rsidRPr="00FD0EA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FD0EA2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FD0EA2" w:rsidRDefault="00942B9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226 (26</w:t>
            </w:r>
            <w:r w:rsidR="007D077D">
              <w:rPr>
                <w:lang w:val="en-US"/>
              </w:rPr>
              <w:t>.8</w:t>
            </w:r>
            <w:r w:rsidR="006E3B23">
              <w:rPr>
                <w:lang w:val="en-US"/>
              </w:rPr>
              <w:t>%</w:t>
            </w:r>
            <w:r w:rsidR="00B9214A" w:rsidRPr="00FD0EA2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FD0EA2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B9214A" w:rsidRDefault="00285F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 (21.3</w:t>
            </w:r>
            <w:r w:rsidR="006E3B23">
              <w:rPr>
                <w:lang w:val="en-US"/>
              </w:rPr>
              <w:t>%</w:t>
            </w:r>
            <w:r w:rsidR="00B9214A" w:rsidRPr="00B9214A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B9214A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B9214A" w:rsidRDefault="000156AC" w:rsidP="000156A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  <w:r w:rsidR="000C1CD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16.8</w:t>
            </w:r>
            <w:r w:rsidR="006E3B23">
              <w:rPr>
                <w:lang w:val="en-US"/>
              </w:rPr>
              <w:t>%</w:t>
            </w:r>
            <w:r w:rsidR="00B9214A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B9214A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&lt;0.001</w:t>
            </w:r>
          </w:p>
        </w:tc>
      </w:tr>
      <w:tr w:rsidR="006E3B23" w:rsidRPr="00B9214A" w:rsidTr="006E3B23">
        <w:tc>
          <w:tcPr>
            <w:tcW w:w="2127" w:type="dxa"/>
            <w:gridSpan w:val="2"/>
          </w:tcPr>
          <w:p w:rsidR="00C024FA" w:rsidRPr="00BE6804" w:rsidRDefault="00BE6804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BMI (</w:t>
            </w:r>
            <w:r w:rsidR="00C024FA" w:rsidRPr="00B9214A">
              <w:rPr>
                <w:lang w:val="en-US"/>
              </w:rPr>
              <w:t>kg/m</w:t>
            </w:r>
            <w:r w:rsidR="00C024FA" w:rsidRPr="00B9214A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08" w:type="dxa"/>
          </w:tcPr>
          <w:p w:rsidR="00C024FA" w:rsidRPr="00B9214A" w:rsidRDefault="004B23F4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3565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65715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(24-28)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57153" w:rsidP="00EA5A7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</w:t>
            </w:r>
            <w:r w:rsidR="00EA5A7F">
              <w:rPr>
                <w:lang w:val="en-US"/>
              </w:rPr>
              <w:t>3</w:t>
            </w:r>
            <w:r>
              <w:rPr>
                <w:lang w:val="en-US"/>
              </w:rPr>
              <w:t>-28)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942B9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(24-28</w:t>
            </w:r>
            <w:r w:rsidR="00657153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B9214A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B9214A" w:rsidRDefault="00285F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(24-28</w:t>
            </w:r>
            <w:r w:rsidR="00657153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B9214A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B9214A" w:rsidRDefault="002F0CF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</w:t>
            </w:r>
            <w:r w:rsidR="000156AC">
              <w:rPr>
                <w:lang w:val="en-US"/>
              </w:rPr>
              <w:t>-28</w:t>
            </w:r>
            <w:r w:rsidR="00657153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B9214A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0.108</w:t>
            </w:r>
          </w:p>
        </w:tc>
      </w:tr>
      <w:tr w:rsidR="006E3B23" w:rsidRPr="00B9214A" w:rsidTr="006E3B23">
        <w:tc>
          <w:tcPr>
            <w:tcW w:w="2127" w:type="dxa"/>
            <w:gridSpan w:val="2"/>
          </w:tcPr>
          <w:p w:rsidR="00C024FA" w:rsidRPr="00B9214A" w:rsidRDefault="00C024FA" w:rsidP="00613049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Previous AMI</w:t>
            </w:r>
          </w:p>
        </w:tc>
        <w:tc>
          <w:tcPr>
            <w:tcW w:w="708" w:type="dxa"/>
          </w:tcPr>
          <w:p w:rsidR="00C024FA" w:rsidRPr="00B9214A" w:rsidRDefault="006146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6146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1408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(39.5</w:t>
            </w:r>
            <w:r w:rsidR="00613049">
              <w:rPr>
                <w:lang w:val="en-US"/>
              </w:rPr>
              <w:t>%</w:t>
            </w:r>
            <w:r w:rsidR="00A43EA7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926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(17.1</w:t>
            </w:r>
            <w:r w:rsidR="00613049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942B9D" w:rsidP="00942B9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375</w:t>
            </w:r>
            <w:r w:rsidR="00F40E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44</w:t>
            </w:r>
            <w:r w:rsidR="002D52E1">
              <w:rPr>
                <w:lang w:val="en-US"/>
              </w:rPr>
              <w:t>.5</w:t>
            </w:r>
            <w:r w:rsidR="00613049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B9214A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B9214A" w:rsidRDefault="00285F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(47.1</w:t>
            </w:r>
            <w:r w:rsidR="00613049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B9214A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B9214A" w:rsidRDefault="000156AC" w:rsidP="000156A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498</w:t>
            </w:r>
            <w:r w:rsidR="00F40EC1">
              <w:rPr>
                <w:lang w:val="en-US"/>
              </w:rPr>
              <w:t xml:space="preserve"> </w:t>
            </w:r>
            <w:r w:rsidR="002D52E1">
              <w:rPr>
                <w:lang w:val="en-US"/>
              </w:rPr>
              <w:t>(</w:t>
            </w:r>
            <w:r>
              <w:rPr>
                <w:lang w:val="en-US"/>
              </w:rPr>
              <w:t>49.8</w:t>
            </w:r>
            <w:r w:rsidR="00613049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B9214A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E3B23" w:rsidRPr="00B9214A" w:rsidTr="006E3B23">
        <w:tc>
          <w:tcPr>
            <w:tcW w:w="2127" w:type="dxa"/>
            <w:gridSpan w:val="2"/>
          </w:tcPr>
          <w:p w:rsidR="00C024FA" w:rsidRPr="00B9214A" w:rsidRDefault="00C024FA" w:rsidP="00613049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Previous PCI</w:t>
            </w:r>
          </w:p>
        </w:tc>
        <w:tc>
          <w:tcPr>
            <w:tcW w:w="708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690 (19.3</w:t>
            </w:r>
            <w:r w:rsidR="00613049">
              <w:rPr>
                <w:lang w:val="en-US"/>
              </w:rPr>
              <w:t>%</w:t>
            </w:r>
            <w:r w:rsidR="009E4D84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926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134 (14</w:t>
            </w:r>
            <w:r w:rsidR="007A32D5">
              <w:rPr>
                <w:lang w:val="en-US"/>
              </w:rPr>
              <w:t>.5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B9214A" w:rsidRDefault="00942B9D" w:rsidP="00942B9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234 (27.8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B9214A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B9214A" w:rsidRDefault="000156AC" w:rsidP="000156A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  <w:r w:rsidR="00AF5CF6">
              <w:rPr>
                <w:lang w:val="en-US"/>
              </w:rPr>
              <w:t xml:space="preserve"> (</w:t>
            </w:r>
            <w:r>
              <w:rPr>
                <w:lang w:val="en-US"/>
              </w:rPr>
              <w:t>22.5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B9214A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B9214A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142 (14.2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B9214A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E3B23" w:rsidRPr="00A55CC2" w:rsidTr="006E3B23">
        <w:tc>
          <w:tcPr>
            <w:tcW w:w="2127" w:type="dxa"/>
            <w:gridSpan w:val="2"/>
          </w:tcPr>
          <w:p w:rsidR="00C024FA" w:rsidRPr="00A55CC2" w:rsidRDefault="00C024FA" w:rsidP="00613049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</w:t>
            </w:r>
            <w:r w:rsidRPr="00A55CC2">
              <w:rPr>
                <w:lang w:val="en-US"/>
              </w:rPr>
              <w:t>ous CABG</w:t>
            </w:r>
          </w:p>
        </w:tc>
        <w:tc>
          <w:tcPr>
            <w:tcW w:w="708" w:type="dxa"/>
          </w:tcPr>
          <w:p w:rsidR="00C024FA" w:rsidRPr="00A55CC2" w:rsidRDefault="004D438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A55CC2" w:rsidRDefault="004D438C" w:rsidP="004D438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388</w:t>
            </w:r>
            <w:r w:rsidR="00AF5CF6">
              <w:rPr>
                <w:lang w:val="en-US"/>
              </w:rPr>
              <w:t xml:space="preserve"> (1</w:t>
            </w:r>
            <w:r>
              <w:rPr>
                <w:lang w:val="en-US"/>
              </w:rPr>
              <w:t>0.9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926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EA5A7F" w:rsidP="00EA5A7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D27F5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0.2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A55CC2" w:rsidRDefault="00942B9D" w:rsidP="00942B9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AF5CF6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2.0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A55CC2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A55CC2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101 (12.6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A55CC2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A55CC2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268 (26.8</w:t>
            </w:r>
            <w:r w:rsidR="00613049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A55CC2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E3B23" w:rsidRPr="00A55CC2" w:rsidTr="006E3B23">
        <w:tc>
          <w:tcPr>
            <w:tcW w:w="2127" w:type="dxa"/>
            <w:gridSpan w:val="2"/>
          </w:tcPr>
          <w:p w:rsidR="00C024FA" w:rsidRPr="00A55CC2" w:rsidRDefault="00C024FA" w:rsidP="00613049">
            <w:pPr>
              <w:spacing w:line="480" w:lineRule="auto"/>
              <w:rPr>
                <w:lang w:val="en-US"/>
              </w:rPr>
            </w:pPr>
            <w:r w:rsidRPr="00835CA3">
              <w:rPr>
                <w:lang w:val="en-US"/>
              </w:rPr>
              <w:t>Previous PAD</w:t>
            </w:r>
          </w:p>
        </w:tc>
        <w:tc>
          <w:tcPr>
            <w:tcW w:w="708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305 (8.5</w:t>
            </w:r>
            <w:r w:rsidR="00613049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926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EA5A7F" w:rsidP="00EA5A7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8C629C">
              <w:rPr>
                <w:lang w:val="en-US"/>
              </w:rPr>
              <w:t xml:space="preserve"> (</w:t>
            </w:r>
            <w:r>
              <w:rPr>
                <w:lang w:val="en-US"/>
              </w:rPr>
              <w:t>4.9</w:t>
            </w:r>
            <w:r w:rsidR="00613049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EA5A7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024FA" w:rsidRPr="00A55CC2" w:rsidRDefault="00942B9D" w:rsidP="00942B9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  <w:r w:rsidR="00442B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8.4</w:t>
            </w:r>
            <w:r w:rsidR="00613049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36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15" w:type="dxa"/>
          </w:tcPr>
          <w:p w:rsidR="00C024FA" w:rsidRPr="00A55CC2" w:rsidRDefault="00A01AA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7" w:type="dxa"/>
          </w:tcPr>
          <w:p w:rsidR="00C024FA" w:rsidRPr="00A55CC2" w:rsidRDefault="000156AC" w:rsidP="000156A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8C629C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6.5</w:t>
            </w:r>
            <w:r w:rsidR="00613049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51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51" w:type="dxa"/>
          </w:tcPr>
          <w:p w:rsidR="00C024FA" w:rsidRPr="00A55CC2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23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77" w:type="dxa"/>
          </w:tcPr>
          <w:p w:rsidR="00C024FA" w:rsidRPr="00A55CC2" w:rsidRDefault="000156A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137 (13.7</w:t>
            </w:r>
            <w:r w:rsidR="00613049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024FA" w:rsidRPr="00A55CC2" w:rsidRDefault="005A51F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BF71A5" w:rsidRDefault="00BF71A5" w:rsidP="00D408EF">
            <w:pPr>
              <w:spacing w:line="480" w:lineRule="auto"/>
            </w:pPr>
            <w:r>
              <w:t>Left ventricular ejection fraction</w:t>
            </w:r>
          </w:p>
        </w:tc>
        <w:tc>
          <w:tcPr>
            <w:tcW w:w="708" w:type="dxa"/>
          </w:tcPr>
          <w:p w:rsidR="00BF71A5" w:rsidRDefault="001D7E41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F71A5" w:rsidRDefault="00822604" w:rsidP="00D408EF">
            <w:pPr>
              <w:spacing w:line="480" w:lineRule="auto"/>
              <w:jc w:val="center"/>
            </w:pPr>
            <w:r>
              <w:t>67</w:t>
            </w:r>
            <w:r w:rsidR="00BC27D1">
              <w:t xml:space="preserve"> (60-70)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BF71A5" w:rsidRDefault="00EA5A7F" w:rsidP="00D408EF">
            <w:pPr>
              <w:spacing w:line="480" w:lineRule="auto"/>
              <w:jc w:val="center"/>
            </w:pPr>
            <w:r>
              <w:t>926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F71A5" w:rsidRDefault="00EA5A7F" w:rsidP="00D408EF">
            <w:pPr>
              <w:spacing w:line="480" w:lineRule="auto"/>
              <w:jc w:val="center"/>
            </w:pPr>
            <w:r>
              <w:t>70 (61</w:t>
            </w:r>
            <w:r w:rsidR="00BC27D1">
              <w:t>-70)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BF71A5" w:rsidRDefault="00EA5A7F" w:rsidP="00D408EF">
            <w:pPr>
              <w:spacing w:line="480" w:lineRule="auto"/>
              <w:jc w:val="center"/>
            </w:pPr>
            <w:r>
              <w:t>843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BF71A5" w:rsidRDefault="00942B9D" w:rsidP="00D408EF">
            <w:pPr>
              <w:spacing w:line="480" w:lineRule="auto"/>
              <w:jc w:val="center"/>
            </w:pPr>
            <w:r>
              <w:t>65</w:t>
            </w:r>
            <w:r w:rsidR="00BC27D1">
              <w:t xml:space="preserve"> (60-70)</w:t>
            </w:r>
          </w:p>
        </w:tc>
        <w:tc>
          <w:tcPr>
            <w:tcW w:w="236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BF71A5" w:rsidRDefault="00A01AA0" w:rsidP="00D408EF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BF71A5" w:rsidRDefault="000156AC" w:rsidP="00D408EF">
            <w:pPr>
              <w:spacing w:line="480" w:lineRule="auto"/>
              <w:jc w:val="center"/>
            </w:pPr>
            <w:r>
              <w:t>65</w:t>
            </w:r>
            <w:r w:rsidR="00822604">
              <w:t xml:space="preserve"> (55</w:t>
            </w:r>
            <w:r w:rsidR="00BC27D1">
              <w:t>-70)</w:t>
            </w:r>
          </w:p>
        </w:tc>
        <w:tc>
          <w:tcPr>
            <w:tcW w:w="251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BF71A5" w:rsidRDefault="000156AC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BF71A5" w:rsidRDefault="000156AC" w:rsidP="00D408EF">
            <w:pPr>
              <w:spacing w:line="480" w:lineRule="auto"/>
              <w:jc w:val="center"/>
            </w:pPr>
            <w:r>
              <w:t>65 (57</w:t>
            </w:r>
            <w:r w:rsidR="00BC27D1">
              <w:t>-70)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BF71A5" w:rsidRDefault="005A51FF" w:rsidP="00D408E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Default="00C024FA" w:rsidP="0042232B">
            <w:pPr>
              <w:spacing w:line="480" w:lineRule="auto"/>
            </w:pPr>
            <w:r>
              <w:t>Diabetes mellitus</w:t>
            </w:r>
          </w:p>
        </w:tc>
        <w:tc>
          <w:tcPr>
            <w:tcW w:w="708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392 (11.0</w:t>
            </w:r>
            <w:r w:rsidR="0042232B">
              <w:t>%</w:t>
            </w:r>
            <w:r w:rsidR="000373F3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926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62 (6.7</w:t>
            </w:r>
            <w:r w:rsidR="0042232B">
              <w:t>%</w:t>
            </w:r>
            <w:r w:rsidR="000373F3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843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942B9D" w:rsidP="00D408EF">
            <w:pPr>
              <w:spacing w:line="480" w:lineRule="auto"/>
              <w:jc w:val="center"/>
            </w:pPr>
            <w:r>
              <w:t>103 (12.3</w:t>
            </w:r>
            <w:r w:rsidR="0042232B">
              <w:t>%</w:t>
            </w:r>
            <w:r w:rsidR="000373F3"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86 (10.8</w:t>
            </w:r>
            <w:r w:rsidR="0042232B">
              <w:t>%</w:t>
            </w:r>
            <w:r w:rsidR="00FA08F4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0156AC" w:rsidP="000156AC">
            <w:pPr>
              <w:spacing w:line="480" w:lineRule="auto"/>
              <w:jc w:val="center"/>
            </w:pPr>
            <w:r>
              <w:t>141 (14</w:t>
            </w:r>
            <w:r w:rsidR="00822604">
              <w:t>.</w:t>
            </w:r>
            <w:r>
              <w:t>1</w:t>
            </w:r>
            <w:r w:rsidR="0042232B">
              <w:t>%</w:t>
            </w:r>
            <w:r w:rsidR="00FA08F4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5A51FF" w:rsidP="00D408E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Default="00C024FA" w:rsidP="00A411F1">
            <w:pPr>
              <w:spacing w:line="480" w:lineRule="auto"/>
            </w:pPr>
            <w:r>
              <w:t>Hypertension</w:t>
            </w:r>
          </w:p>
        </w:tc>
        <w:tc>
          <w:tcPr>
            <w:tcW w:w="708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1623 (45.5</w:t>
            </w:r>
            <w:r w:rsidR="00A411F1">
              <w:t>%</w:t>
            </w:r>
            <w:r w:rsidR="00335A0D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926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372 (40.2</w:t>
            </w:r>
            <w:r w:rsidR="00A411F1">
              <w:t>%</w:t>
            </w:r>
            <w:r w:rsidR="00335A0D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843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942B9D" w:rsidP="00942B9D">
            <w:pPr>
              <w:spacing w:line="480" w:lineRule="auto"/>
              <w:jc w:val="center"/>
            </w:pPr>
            <w:r>
              <w:t>360</w:t>
            </w:r>
            <w:r w:rsidR="00F85B0F">
              <w:t xml:space="preserve"> (4</w:t>
            </w:r>
            <w:r>
              <w:t>2.7</w:t>
            </w:r>
            <w:r w:rsidR="00A411F1">
              <w:t>%</w:t>
            </w:r>
            <w:r w:rsidR="00335A0D"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0156AC" w:rsidP="000156AC">
            <w:pPr>
              <w:spacing w:line="480" w:lineRule="auto"/>
              <w:jc w:val="center"/>
            </w:pPr>
            <w:r>
              <w:t>371</w:t>
            </w:r>
            <w:r w:rsidR="00F85B0F">
              <w:t xml:space="preserve"> (</w:t>
            </w:r>
            <w:r>
              <w:t>46.4</w:t>
            </w:r>
            <w:r w:rsidR="00A411F1">
              <w:t>%</w:t>
            </w:r>
            <w:r w:rsidR="00335A0D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520 (52.1</w:t>
            </w:r>
            <w:r w:rsidR="00A411F1">
              <w:t>%</w:t>
            </w:r>
            <w:r w:rsidR="00A509A8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B37B18" w:rsidRDefault="005A51FF" w:rsidP="00D408E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Pr="00E5695E" w:rsidRDefault="00C024FA" w:rsidP="00A411F1">
            <w:pPr>
              <w:spacing w:line="480" w:lineRule="auto"/>
            </w:pPr>
            <w:r w:rsidRPr="00E5695E">
              <w:lastRenderedPageBreak/>
              <w:t>Current smoker</w:t>
            </w:r>
          </w:p>
        </w:tc>
        <w:tc>
          <w:tcPr>
            <w:tcW w:w="708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3564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968 (27.1</w:t>
            </w:r>
            <w:r w:rsidR="00A411F1">
              <w:t>%</w:t>
            </w:r>
            <w:r w:rsidR="005A74AE" w:rsidRPr="00E5695E">
              <w:t>)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Pr="00E5695E" w:rsidRDefault="00EA5A7F" w:rsidP="00D408EF">
            <w:pPr>
              <w:spacing w:line="480" w:lineRule="auto"/>
              <w:jc w:val="center"/>
            </w:pPr>
            <w:r>
              <w:t>923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Pr="00E5695E" w:rsidRDefault="00EA5A7F" w:rsidP="00EA5A7F">
            <w:pPr>
              <w:spacing w:line="480" w:lineRule="auto"/>
              <w:jc w:val="center"/>
            </w:pPr>
            <w:r>
              <w:t>267</w:t>
            </w:r>
            <w:r w:rsidR="00756DAC">
              <w:t xml:space="preserve"> (</w:t>
            </w:r>
            <w:r>
              <w:t>28.8</w:t>
            </w:r>
            <w:r w:rsidR="00A411F1">
              <w:t>%</w:t>
            </w:r>
            <w:r w:rsidR="00E913C2" w:rsidRPr="00E5695E">
              <w:t>)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Pr="00E5695E" w:rsidRDefault="00EA5A7F" w:rsidP="00D408EF">
            <w:pPr>
              <w:spacing w:line="480" w:lineRule="auto"/>
              <w:jc w:val="center"/>
            </w:pPr>
            <w:r>
              <w:t>842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Pr="00E5695E" w:rsidRDefault="00942B9D" w:rsidP="00942B9D">
            <w:pPr>
              <w:spacing w:line="480" w:lineRule="auto"/>
              <w:jc w:val="center"/>
            </w:pPr>
            <w:r>
              <w:t>292</w:t>
            </w:r>
            <w:r w:rsidR="00756DAC">
              <w:t xml:space="preserve"> (</w:t>
            </w:r>
            <w:r>
              <w:t>34</w:t>
            </w:r>
            <w:r w:rsidR="00756DAC">
              <w:t>.</w:t>
            </w:r>
            <w:r>
              <w:t>6</w:t>
            </w:r>
            <w:r w:rsidR="00A411F1">
              <w:t>%</w:t>
            </w:r>
            <w:r w:rsidR="00E913C2" w:rsidRPr="00E5695E">
              <w:t>)</w:t>
            </w:r>
          </w:p>
        </w:tc>
        <w:tc>
          <w:tcPr>
            <w:tcW w:w="236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Pr="00E5695E" w:rsidRDefault="00A01AA0" w:rsidP="00D408EF">
            <w:pPr>
              <w:spacing w:line="480" w:lineRule="auto"/>
              <w:jc w:val="center"/>
            </w:pPr>
            <w:r>
              <w:t>799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Pr="00E5695E" w:rsidRDefault="000156AC" w:rsidP="000156AC">
            <w:pPr>
              <w:spacing w:line="480" w:lineRule="auto"/>
              <w:jc w:val="center"/>
            </w:pPr>
            <w:r>
              <w:t>254</w:t>
            </w:r>
            <w:r w:rsidR="00756DAC">
              <w:t xml:space="preserve"> (</w:t>
            </w:r>
            <w:r>
              <w:t>31.8</w:t>
            </w:r>
            <w:r w:rsidR="00A411F1">
              <w:t>%</w:t>
            </w:r>
            <w:r w:rsidR="00E913C2" w:rsidRPr="00E5695E">
              <w:t>)</w:t>
            </w:r>
          </w:p>
        </w:tc>
        <w:tc>
          <w:tcPr>
            <w:tcW w:w="251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Pr="00E5695E" w:rsidRDefault="000156AC" w:rsidP="00D408EF">
            <w:pPr>
              <w:spacing w:line="480" w:lineRule="auto"/>
              <w:jc w:val="center"/>
            </w:pPr>
            <w:r>
              <w:t>999</w:t>
            </w:r>
          </w:p>
        </w:tc>
        <w:tc>
          <w:tcPr>
            <w:tcW w:w="23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Pr="00E5695E" w:rsidRDefault="000156AC" w:rsidP="00D408EF">
            <w:pPr>
              <w:spacing w:line="480" w:lineRule="auto"/>
              <w:jc w:val="center"/>
            </w:pPr>
            <w:r>
              <w:t>271 (27.1</w:t>
            </w:r>
            <w:r w:rsidR="00A411F1">
              <w:t>%</w:t>
            </w:r>
            <w:r w:rsidR="00E913C2" w:rsidRPr="00E5695E">
              <w:t>)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Pr="00E5695E" w:rsidRDefault="005A51FF" w:rsidP="00D408E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Default="00C024FA" w:rsidP="00A411F1">
            <w:pPr>
              <w:spacing w:line="480" w:lineRule="auto"/>
            </w:pPr>
            <w:r>
              <w:t>Blood pressure</w:t>
            </w:r>
          </w:p>
        </w:tc>
        <w:tc>
          <w:tcPr>
            <w:tcW w:w="708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</w:tr>
      <w:tr w:rsidR="006E3B23" w:rsidTr="00A411F1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Systolic</w:t>
            </w:r>
            <w:r w:rsidR="00A411F1">
              <w:t xml:space="preserve"> (mmHg)</w:t>
            </w:r>
          </w:p>
        </w:tc>
        <w:tc>
          <w:tcPr>
            <w:tcW w:w="708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3522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006D61" w:rsidRDefault="002747B1" w:rsidP="00D408EF">
            <w:pPr>
              <w:spacing w:line="480" w:lineRule="auto"/>
              <w:jc w:val="center"/>
            </w:pPr>
            <w:r>
              <w:t>140</w:t>
            </w:r>
            <w:r w:rsidR="00006D61">
              <w:t xml:space="preserve"> </w:t>
            </w:r>
          </w:p>
          <w:p w:rsidR="00C024FA" w:rsidRDefault="00006D61" w:rsidP="00D408EF">
            <w:pPr>
              <w:spacing w:line="480" w:lineRule="auto"/>
              <w:jc w:val="center"/>
            </w:pPr>
            <w:r>
              <w:t>(126–154)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905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140</w:t>
            </w:r>
          </w:p>
          <w:p w:rsidR="000C34F3" w:rsidRDefault="00EA5A7F" w:rsidP="00D408EF">
            <w:pPr>
              <w:spacing w:line="480" w:lineRule="auto"/>
              <w:jc w:val="center"/>
            </w:pPr>
            <w:r>
              <w:t>(125–151</w:t>
            </w:r>
            <w:r w:rsidR="000C34F3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942B9D" w:rsidP="00D408EF">
            <w:pPr>
              <w:spacing w:line="480" w:lineRule="auto"/>
              <w:jc w:val="center"/>
            </w:pPr>
            <w:r>
              <w:t>834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7D46A8" w:rsidP="00D408EF">
            <w:pPr>
              <w:spacing w:line="480" w:lineRule="auto"/>
              <w:jc w:val="center"/>
            </w:pPr>
            <w:r>
              <w:t>140</w:t>
            </w:r>
          </w:p>
          <w:p w:rsidR="00690D38" w:rsidRDefault="00690D38" w:rsidP="007D46A8">
            <w:pPr>
              <w:spacing w:line="480" w:lineRule="auto"/>
              <w:jc w:val="center"/>
            </w:pPr>
            <w:r>
              <w:t>(12</w:t>
            </w:r>
            <w:r w:rsidR="007D46A8">
              <w:t>6-151</w:t>
            </w:r>
            <w:r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792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0D4FAD" w:rsidP="00D408EF">
            <w:pPr>
              <w:spacing w:line="480" w:lineRule="auto"/>
              <w:jc w:val="center"/>
            </w:pPr>
            <w:r>
              <w:t>140</w:t>
            </w:r>
          </w:p>
          <w:p w:rsidR="000D4FAD" w:rsidRDefault="000156AC" w:rsidP="00D408EF">
            <w:pPr>
              <w:spacing w:line="480" w:lineRule="auto"/>
              <w:jc w:val="center"/>
            </w:pPr>
            <w:r>
              <w:t>(125-153</w:t>
            </w:r>
            <w:r w:rsidR="000D4FAD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991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EB3076" w:rsidP="00D408EF">
            <w:pPr>
              <w:spacing w:line="480" w:lineRule="auto"/>
              <w:jc w:val="center"/>
            </w:pPr>
            <w:r>
              <w:t>140</w:t>
            </w:r>
          </w:p>
          <w:p w:rsidR="00EB3076" w:rsidRDefault="00130E32" w:rsidP="00D408EF">
            <w:pPr>
              <w:spacing w:line="480" w:lineRule="auto"/>
              <w:jc w:val="center"/>
            </w:pPr>
            <w:r>
              <w:t>(130</w:t>
            </w:r>
            <w:r w:rsidR="000156AC">
              <w:t>-158</w:t>
            </w:r>
            <w:r w:rsidR="00EB3076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5A51FF" w:rsidP="00D408EF">
            <w:pPr>
              <w:spacing w:line="480" w:lineRule="auto"/>
              <w:jc w:val="center"/>
            </w:pPr>
            <w:r>
              <w:t>0.369</w:t>
            </w:r>
          </w:p>
        </w:tc>
      </w:tr>
      <w:tr w:rsidR="006E3B23" w:rsidTr="00A411F1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Diastolic</w:t>
            </w:r>
            <w:r w:rsidR="00A411F1">
              <w:t xml:space="preserve"> (mmHg)</w:t>
            </w:r>
          </w:p>
        </w:tc>
        <w:tc>
          <w:tcPr>
            <w:tcW w:w="708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3520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2747B1" w:rsidP="00D408EF">
            <w:pPr>
              <w:spacing w:line="480" w:lineRule="auto"/>
              <w:jc w:val="center"/>
            </w:pPr>
            <w:r>
              <w:t>80</w:t>
            </w:r>
          </w:p>
          <w:p w:rsidR="00006D61" w:rsidRDefault="00006D61" w:rsidP="00D408EF">
            <w:pPr>
              <w:spacing w:line="480" w:lineRule="auto"/>
              <w:jc w:val="center"/>
            </w:pPr>
            <w:r>
              <w:t>(75–88)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905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C34F3" w:rsidP="00D408EF">
            <w:pPr>
              <w:spacing w:line="480" w:lineRule="auto"/>
              <w:jc w:val="center"/>
            </w:pPr>
            <w:r>
              <w:t>80</w:t>
            </w:r>
          </w:p>
          <w:p w:rsidR="000C34F3" w:rsidRDefault="00EA5A7F" w:rsidP="00D408EF">
            <w:pPr>
              <w:spacing w:line="480" w:lineRule="auto"/>
              <w:jc w:val="center"/>
            </w:pPr>
            <w:r>
              <w:t>(75-88</w:t>
            </w:r>
            <w:r w:rsidR="000C34F3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942B9D" w:rsidP="00D408EF">
            <w:pPr>
              <w:spacing w:line="480" w:lineRule="auto"/>
              <w:jc w:val="center"/>
            </w:pPr>
            <w:r>
              <w:t>833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690D38" w:rsidP="00D408EF">
            <w:pPr>
              <w:spacing w:line="480" w:lineRule="auto"/>
              <w:jc w:val="center"/>
            </w:pPr>
            <w:r>
              <w:t>80</w:t>
            </w:r>
          </w:p>
          <w:p w:rsidR="00690D38" w:rsidRDefault="00690D38" w:rsidP="007D46A8">
            <w:pPr>
              <w:spacing w:line="480" w:lineRule="auto"/>
              <w:jc w:val="center"/>
            </w:pPr>
            <w:r>
              <w:t>(75-8</w:t>
            </w:r>
            <w:r w:rsidR="007D46A8">
              <w:t>7</w:t>
            </w:r>
            <w:r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791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0D4FAD" w:rsidP="00D408EF">
            <w:pPr>
              <w:spacing w:line="480" w:lineRule="auto"/>
              <w:jc w:val="center"/>
            </w:pPr>
            <w:r>
              <w:t>80</w:t>
            </w:r>
          </w:p>
          <w:p w:rsidR="000D4FAD" w:rsidRDefault="000156AC" w:rsidP="00D408EF">
            <w:pPr>
              <w:spacing w:line="480" w:lineRule="auto"/>
              <w:jc w:val="center"/>
            </w:pPr>
            <w:r>
              <w:t>(75-89</w:t>
            </w:r>
            <w:r w:rsidR="000D4FAD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991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EB3076" w:rsidP="00D408EF">
            <w:pPr>
              <w:spacing w:line="480" w:lineRule="auto"/>
              <w:jc w:val="center"/>
            </w:pPr>
            <w:r>
              <w:t>80</w:t>
            </w:r>
          </w:p>
          <w:p w:rsidR="00EB3076" w:rsidRDefault="000156AC" w:rsidP="00D408EF">
            <w:pPr>
              <w:spacing w:line="480" w:lineRule="auto"/>
              <w:jc w:val="center"/>
            </w:pPr>
            <w:r>
              <w:t>(75</w:t>
            </w:r>
            <w:r w:rsidR="00EB3076">
              <w:t>-89)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5A51FF" w:rsidP="00D408EF">
            <w:pPr>
              <w:spacing w:line="480" w:lineRule="auto"/>
              <w:jc w:val="center"/>
            </w:pPr>
            <w:r>
              <w:t>0.706</w:t>
            </w:r>
          </w:p>
        </w:tc>
      </w:tr>
      <w:tr w:rsidR="006E3B23" w:rsidTr="006E3B23">
        <w:tc>
          <w:tcPr>
            <w:tcW w:w="2127" w:type="dxa"/>
            <w:gridSpan w:val="2"/>
          </w:tcPr>
          <w:p w:rsidR="00C024FA" w:rsidRDefault="007914B8" w:rsidP="00D408EF">
            <w:pPr>
              <w:spacing w:line="480" w:lineRule="auto"/>
            </w:pPr>
            <w:r w:rsidRPr="007914B8">
              <w:t>eGFR</w:t>
            </w:r>
          </w:p>
        </w:tc>
        <w:tc>
          <w:tcPr>
            <w:tcW w:w="708" w:type="dxa"/>
          </w:tcPr>
          <w:p w:rsidR="00C024FA" w:rsidRDefault="00213BDC" w:rsidP="00D408EF">
            <w:pPr>
              <w:spacing w:line="480" w:lineRule="auto"/>
              <w:jc w:val="center"/>
            </w:pPr>
            <w:r>
              <w:t>3562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5C3C36" w:rsidP="00D408EF">
            <w:pPr>
              <w:spacing w:line="480" w:lineRule="auto"/>
              <w:jc w:val="center"/>
            </w:pPr>
            <w:r>
              <w:t>91</w:t>
            </w:r>
          </w:p>
          <w:p w:rsidR="005F1F0B" w:rsidRDefault="00213BDC" w:rsidP="00D408EF">
            <w:pPr>
              <w:spacing w:line="480" w:lineRule="auto"/>
              <w:jc w:val="center"/>
            </w:pPr>
            <w:r>
              <w:t>(80</w:t>
            </w:r>
            <w:r w:rsidR="005F1F0B">
              <w:t>-100)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924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EA5A7F" w:rsidP="00D408EF">
            <w:pPr>
              <w:spacing w:line="480" w:lineRule="auto"/>
              <w:jc w:val="center"/>
            </w:pPr>
            <w:r>
              <w:t>93</w:t>
            </w:r>
          </w:p>
          <w:p w:rsidR="005F1F0B" w:rsidRDefault="00EA5A7F" w:rsidP="00D408EF">
            <w:pPr>
              <w:spacing w:line="480" w:lineRule="auto"/>
              <w:jc w:val="center"/>
            </w:pPr>
            <w:r>
              <w:t>(82-102</w:t>
            </w:r>
            <w:r w:rsidR="005F1F0B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942B9D" w:rsidP="00D408EF">
            <w:pPr>
              <w:spacing w:line="480" w:lineRule="auto"/>
              <w:jc w:val="center"/>
            </w:pPr>
            <w:r>
              <w:t>842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C024FA" w:rsidRDefault="007D46A8" w:rsidP="00D408EF">
            <w:pPr>
              <w:spacing w:line="480" w:lineRule="auto"/>
              <w:jc w:val="center"/>
            </w:pPr>
            <w:r>
              <w:t>93</w:t>
            </w:r>
          </w:p>
          <w:p w:rsidR="005F1F0B" w:rsidRDefault="007D46A8" w:rsidP="007D46A8">
            <w:pPr>
              <w:spacing w:line="480" w:lineRule="auto"/>
              <w:jc w:val="center"/>
            </w:pPr>
            <w:r>
              <w:t>(83-100</w:t>
            </w:r>
            <w:r w:rsidR="005F1F0B">
              <w:t>)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615" w:type="dxa"/>
          </w:tcPr>
          <w:p w:rsidR="00C024FA" w:rsidRDefault="00A01AA0" w:rsidP="00D408EF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57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92</w:t>
            </w:r>
          </w:p>
          <w:p w:rsidR="00152884" w:rsidRDefault="00213BDC" w:rsidP="000156AC">
            <w:pPr>
              <w:spacing w:line="480" w:lineRule="auto"/>
              <w:jc w:val="center"/>
            </w:pPr>
            <w:r>
              <w:t>(</w:t>
            </w:r>
            <w:r w:rsidR="000156AC">
              <w:t>92</w:t>
            </w:r>
            <w:r w:rsidR="00152884">
              <w:t>-</w:t>
            </w:r>
            <w:r w:rsidR="000156AC">
              <w:t>100</w:t>
            </w:r>
            <w:r w:rsidR="00152884">
              <w:t>)</w:t>
            </w:r>
          </w:p>
        </w:tc>
        <w:tc>
          <w:tcPr>
            <w:tcW w:w="251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51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996</w:t>
            </w:r>
          </w:p>
        </w:tc>
        <w:tc>
          <w:tcPr>
            <w:tcW w:w="23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77" w:type="dxa"/>
          </w:tcPr>
          <w:p w:rsidR="00C024FA" w:rsidRDefault="000156AC" w:rsidP="00D408EF">
            <w:pPr>
              <w:spacing w:line="480" w:lineRule="auto"/>
              <w:jc w:val="center"/>
            </w:pPr>
            <w:r>
              <w:t>88</w:t>
            </w:r>
          </w:p>
          <w:p w:rsidR="00152884" w:rsidRDefault="00213BDC" w:rsidP="000156AC">
            <w:pPr>
              <w:spacing w:line="480" w:lineRule="auto"/>
              <w:jc w:val="center"/>
            </w:pPr>
            <w:r>
              <w:t>(</w:t>
            </w:r>
            <w:r w:rsidR="000156AC">
              <w:t>75 – 97</w:t>
            </w:r>
            <w:r w:rsidR="00152884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C024FA" w:rsidRDefault="005A51FF" w:rsidP="00D408E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3512CC" w:rsidRPr="00B30A0C" w:rsidTr="006E3B23">
        <w:trPr>
          <w:trHeight w:val="270"/>
        </w:trPr>
        <w:tc>
          <w:tcPr>
            <w:tcW w:w="16160" w:type="dxa"/>
            <w:gridSpan w:val="23"/>
            <w:tcBorders>
              <w:top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* Number of patients with valid measurements</w:t>
            </w:r>
          </w:p>
        </w:tc>
      </w:tr>
      <w:tr w:rsidR="003512CC" w:rsidRPr="00B30A0C" w:rsidTr="006E3B23">
        <w:trPr>
          <w:trHeight w:val="270"/>
        </w:trPr>
        <w:tc>
          <w:tcPr>
            <w:tcW w:w="16160" w:type="dxa"/>
            <w:gridSpan w:val="23"/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** Adjusted for age and gender</w:t>
            </w:r>
          </w:p>
        </w:tc>
      </w:tr>
      <w:tr w:rsidR="00E476D4" w:rsidRPr="00B30A0C" w:rsidTr="006E3B23">
        <w:trPr>
          <w:trHeight w:val="270"/>
        </w:trPr>
        <w:tc>
          <w:tcPr>
            <w:tcW w:w="16160" w:type="dxa"/>
            <w:gridSpan w:val="23"/>
          </w:tcPr>
          <w:p w:rsidR="00E476D4" w:rsidRDefault="005D2538" w:rsidP="00E466A9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BMI = Body mass index; AMI = acute myocardial infarction; PCI = percutaneous coronary intervention;</w:t>
            </w:r>
            <w:r w:rsidR="007D3C4B">
              <w:rPr>
                <w:lang w:val="en-US"/>
              </w:rPr>
              <w:t xml:space="preserve"> CABG = coronary artery bypass graft; PAD = peripheral artery disease; eGFR = estima</w:t>
            </w:r>
            <w:r w:rsidR="00E466A9">
              <w:rPr>
                <w:lang w:val="en-US"/>
              </w:rPr>
              <w:t>ted glomerular filtration rate</w:t>
            </w:r>
          </w:p>
        </w:tc>
      </w:tr>
    </w:tbl>
    <w:p w:rsidR="000062B9" w:rsidRPr="005630DF" w:rsidRDefault="000062B9" w:rsidP="00D408EF">
      <w:pPr>
        <w:spacing w:line="480" w:lineRule="auto"/>
        <w:rPr>
          <w:lang w:val="en-US"/>
        </w:rPr>
      </w:pPr>
    </w:p>
    <w:sectPr w:rsidR="000062B9" w:rsidRPr="005630DF" w:rsidSect="005630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F" w:rsidRDefault="00F85B0F" w:rsidP="00F85B0F">
      <w:pPr>
        <w:spacing w:after="0" w:line="240" w:lineRule="auto"/>
      </w:pPr>
      <w:r>
        <w:separator/>
      </w:r>
    </w:p>
  </w:endnote>
  <w:endnote w:type="continuationSeparator" w:id="0">
    <w:p w:rsidR="00F85B0F" w:rsidRDefault="00F85B0F" w:rsidP="00F8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F" w:rsidRDefault="00F85B0F" w:rsidP="00F85B0F">
      <w:pPr>
        <w:spacing w:after="0" w:line="240" w:lineRule="auto"/>
      </w:pPr>
      <w:r>
        <w:separator/>
      </w:r>
    </w:p>
  </w:footnote>
  <w:footnote w:type="continuationSeparator" w:id="0">
    <w:p w:rsidR="00F85B0F" w:rsidRDefault="00F85B0F" w:rsidP="00F8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F"/>
    <w:rsid w:val="000062B9"/>
    <w:rsid w:val="00006D61"/>
    <w:rsid w:val="000156AC"/>
    <w:rsid w:val="0002179E"/>
    <w:rsid w:val="000373F3"/>
    <w:rsid w:val="00061959"/>
    <w:rsid w:val="000722A0"/>
    <w:rsid w:val="00076A70"/>
    <w:rsid w:val="00094B53"/>
    <w:rsid w:val="000A6219"/>
    <w:rsid w:val="000B6C4D"/>
    <w:rsid w:val="000C14BA"/>
    <w:rsid w:val="000C1CDF"/>
    <w:rsid w:val="000C3346"/>
    <w:rsid w:val="000C34F3"/>
    <w:rsid w:val="000D4FAD"/>
    <w:rsid w:val="000E38C1"/>
    <w:rsid w:val="000F48C3"/>
    <w:rsid w:val="000F55BC"/>
    <w:rsid w:val="000F6D49"/>
    <w:rsid w:val="00130E32"/>
    <w:rsid w:val="00143D41"/>
    <w:rsid w:val="00152884"/>
    <w:rsid w:val="00160A60"/>
    <w:rsid w:val="00172347"/>
    <w:rsid w:val="00197A0D"/>
    <w:rsid w:val="001C2558"/>
    <w:rsid w:val="001D7E41"/>
    <w:rsid w:val="00205B38"/>
    <w:rsid w:val="00213BDC"/>
    <w:rsid w:val="002747B1"/>
    <w:rsid w:val="00285FE1"/>
    <w:rsid w:val="002D2BD0"/>
    <w:rsid w:val="002D52E1"/>
    <w:rsid w:val="002F0CF0"/>
    <w:rsid w:val="0030078B"/>
    <w:rsid w:val="003048D5"/>
    <w:rsid w:val="00335A0D"/>
    <w:rsid w:val="003512CC"/>
    <w:rsid w:val="00370BA2"/>
    <w:rsid w:val="003A4287"/>
    <w:rsid w:val="003D27F5"/>
    <w:rsid w:val="003D3019"/>
    <w:rsid w:val="003F25A2"/>
    <w:rsid w:val="003F437C"/>
    <w:rsid w:val="00407A3F"/>
    <w:rsid w:val="0042232B"/>
    <w:rsid w:val="00442B4B"/>
    <w:rsid w:val="00477607"/>
    <w:rsid w:val="00497B36"/>
    <w:rsid w:val="004B23F4"/>
    <w:rsid w:val="004D438C"/>
    <w:rsid w:val="004E3595"/>
    <w:rsid w:val="005630DF"/>
    <w:rsid w:val="00574218"/>
    <w:rsid w:val="00575137"/>
    <w:rsid w:val="005A51FF"/>
    <w:rsid w:val="005A74AE"/>
    <w:rsid w:val="005B643A"/>
    <w:rsid w:val="005C3C36"/>
    <w:rsid w:val="005D2538"/>
    <w:rsid w:val="005F1F0B"/>
    <w:rsid w:val="006102D9"/>
    <w:rsid w:val="00613049"/>
    <w:rsid w:val="006146F3"/>
    <w:rsid w:val="00657153"/>
    <w:rsid w:val="00684994"/>
    <w:rsid w:val="00690D38"/>
    <w:rsid w:val="00692EF3"/>
    <w:rsid w:val="006C2880"/>
    <w:rsid w:val="006E3B23"/>
    <w:rsid w:val="00713A3C"/>
    <w:rsid w:val="00722F81"/>
    <w:rsid w:val="00736B5C"/>
    <w:rsid w:val="00746B23"/>
    <w:rsid w:val="00756DAC"/>
    <w:rsid w:val="00757773"/>
    <w:rsid w:val="007853DA"/>
    <w:rsid w:val="00785F5B"/>
    <w:rsid w:val="007914B8"/>
    <w:rsid w:val="007A32D5"/>
    <w:rsid w:val="007D077D"/>
    <w:rsid w:val="007D3C4B"/>
    <w:rsid w:val="007D46A8"/>
    <w:rsid w:val="00817E5E"/>
    <w:rsid w:val="00822604"/>
    <w:rsid w:val="008333FA"/>
    <w:rsid w:val="00835CA3"/>
    <w:rsid w:val="0086134F"/>
    <w:rsid w:val="00862DDC"/>
    <w:rsid w:val="00880621"/>
    <w:rsid w:val="008860D2"/>
    <w:rsid w:val="0089036B"/>
    <w:rsid w:val="008C06F8"/>
    <w:rsid w:val="008C0D18"/>
    <w:rsid w:val="008C629C"/>
    <w:rsid w:val="008F71E2"/>
    <w:rsid w:val="00941C7B"/>
    <w:rsid w:val="00942B9D"/>
    <w:rsid w:val="00994346"/>
    <w:rsid w:val="009C77CC"/>
    <w:rsid w:val="009E4D84"/>
    <w:rsid w:val="00A01AA0"/>
    <w:rsid w:val="00A16051"/>
    <w:rsid w:val="00A32E6D"/>
    <w:rsid w:val="00A411F1"/>
    <w:rsid w:val="00A43EA7"/>
    <w:rsid w:val="00A509A8"/>
    <w:rsid w:val="00A55CC2"/>
    <w:rsid w:val="00A7587E"/>
    <w:rsid w:val="00AF5CF6"/>
    <w:rsid w:val="00B30A0C"/>
    <w:rsid w:val="00B37B18"/>
    <w:rsid w:val="00B9214A"/>
    <w:rsid w:val="00B97697"/>
    <w:rsid w:val="00BA5342"/>
    <w:rsid w:val="00BC27D1"/>
    <w:rsid w:val="00BD6EE8"/>
    <w:rsid w:val="00BE00A0"/>
    <w:rsid w:val="00BE0C31"/>
    <w:rsid w:val="00BE6804"/>
    <w:rsid w:val="00BF71A5"/>
    <w:rsid w:val="00C024FA"/>
    <w:rsid w:val="00C30ADF"/>
    <w:rsid w:val="00C35591"/>
    <w:rsid w:val="00C45940"/>
    <w:rsid w:val="00CC5C4A"/>
    <w:rsid w:val="00CF08A8"/>
    <w:rsid w:val="00CF1EED"/>
    <w:rsid w:val="00D408EF"/>
    <w:rsid w:val="00D647CF"/>
    <w:rsid w:val="00D74C5A"/>
    <w:rsid w:val="00D91B0E"/>
    <w:rsid w:val="00DC09F1"/>
    <w:rsid w:val="00DC3A03"/>
    <w:rsid w:val="00DD5039"/>
    <w:rsid w:val="00DE4102"/>
    <w:rsid w:val="00DF3124"/>
    <w:rsid w:val="00E05685"/>
    <w:rsid w:val="00E06278"/>
    <w:rsid w:val="00E13DB9"/>
    <w:rsid w:val="00E25BDD"/>
    <w:rsid w:val="00E43763"/>
    <w:rsid w:val="00E466A9"/>
    <w:rsid w:val="00E476D4"/>
    <w:rsid w:val="00E51434"/>
    <w:rsid w:val="00E5695E"/>
    <w:rsid w:val="00E85EA5"/>
    <w:rsid w:val="00E913C2"/>
    <w:rsid w:val="00EA5A7F"/>
    <w:rsid w:val="00EB3076"/>
    <w:rsid w:val="00EF06DC"/>
    <w:rsid w:val="00EF18BF"/>
    <w:rsid w:val="00F0240D"/>
    <w:rsid w:val="00F21EDF"/>
    <w:rsid w:val="00F40EC1"/>
    <w:rsid w:val="00F7668C"/>
    <w:rsid w:val="00F85B0F"/>
    <w:rsid w:val="00FA08F4"/>
    <w:rsid w:val="00FA63C9"/>
    <w:rsid w:val="00FD0EA2"/>
    <w:rsid w:val="00FF5BC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37F26"/>
  <w15:docId w15:val="{EFEB65B5-E89D-45A2-9B07-DFE43D6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14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E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8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B0F"/>
  </w:style>
  <w:style w:type="paragraph" w:styleId="Bunntekst">
    <w:name w:val="footer"/>
    <w:basedOn w:val="Normal"/>
    <w:link w:val="BunntekstTegn"/>
    <w:uiPriority w:val="99"/>
    <w:unhideWhenUsed/>
    <w:rsid w:val="00F8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Frodahl Svingen</dc:creator>
  <cp:lastModifiedBy>Vegard Vavik</cp:lastModifiedBy>
  <cp:revision>30</cp:revision>
  <dcterms:created xsi:type="dcterms:W3CDTF">2019-06-02T16:49:00Z</dcterms:created>
  <dcterms:modified xsi:type="dcterms:W3CDTF">2020-03-19T20:54:00Z</dcterms:modified>
</cp:coreProperties>
</file>