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1" w:rsidRPr="0053176E" w:rsidRDefault="0053176E" w:rsidP="004D6791">
      <w:pPr>
        <w:rPr>
          <w:rFonts w:asciiTheme="minorHAnsi" w:hAnsiTheme="minorHAnsi" w:cstheme="minorHAnsi"/>
          <w:b/>
          <w:lang w:val="en-GB"/>
        </w:rPr>
      </w:pPr>
      <w:r w:rsidRPr="0053176E">
        <w:rPr>
          <w:rFonts w:asciiTheme="minorHAnsi" w:hAnsiTheme="minorHAnsi" w:cstheme="minorHAnsi"/>
          <w:b/>
          <w:lang w:val="en-GB"/>
        </w:rPr>
        <w:t>Additiona</w:t>
      </w:r>
      <w:bookmarkStart w:id="0" w:name="_GoBack"/>
      <w:bookmarkEnd w:id="0"/>
      <w:r w:rsidRPr="0053176E">
        <w:rPr>
          <w:rFonts w:asciiTheme="minorHAnsi" w:hAnsiTheme="minorHAnsi" w:cstheme="minorHAnsi"/>
          <w:b/>
          <w:lang w:val="en-GB"/>
        </w:rPr>
        <w:t>l File</w:t>
      </w:r>
    </w:p>
    <w:p w:rsidR="0053176E" w:rsidRDefault="0053176E" w:rsidP="004D679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3176E" w:rsidRPr="0053176E" w:rsidRDefault="0053176E" w:rsidP="004D679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3176E">
        <w:rPr>
          <w:rFonts w:asciiTheme="minorHAnsi" w:hAnsiTheme="minorHAnsi" w:cstheme="minorHAnsi"/>
          <w:b/>
          <w:sz w:val="22"/>
          <w:szCs w:val="22"/>
          <w:lang w:val="en-GB"/>
        </w:rPr>
        <w:t>Tables</w:t>
      </w:r>
    </w:p>
    <w:p w:rsidR="004D6791" w:rsidRDefault="004D6791" w:rsidP="004D6791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900"/>
        <w:gridCol w:w="278"/>
        <w:gridCol w:w="1547"/>
      </w:tblGrid>
      <w:tr w:rsidR="004D6791" w:rsidRPr="000A1573" w:rsidTr="00720AEF">
        <w:tc>
          <w:tcPr>
            <w:tcW w:w="535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DD5A3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</w:t>
            </w:r>
            <w:r w:rsidR="00DD5A35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dds ratios (OR) of the association between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parental 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education and </w:t>
            </w:r>
            <w:r w:rsidR="00CB38BD">
              <w:rPr>
                <w:rFonts w:ascii="Calibri" w:hAnsi="Calibri"/>
                <w:b/>
                <w:sz w:val="20"/>
                <w:szCs w:val="20"/>
                <w:lang w:val="en-GB"/>
              </w:rPr>
              <w:t>energy-dense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food intake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stratified by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perceived weight status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girls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aged 1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1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1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4D6791" w:rsidRPr="000A1573" w:rsidTr="00720AEF"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>No. in sample</w:t>
            </w: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9505F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Low </w:t>
            </w:r>
            <w:r w:rsidR="009505F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intake of </w:t>
            </w:r>
            <w:r w:rsidR="00750BEF">
              <w:rPr>
                <w:rFonts w:ascii="Calibri" w:hAnsi="Calibri"/>
                <w:b/>
                <w:sz w:val="20"/>
                <w:szCs w:val="20"/>
                <w:lang w:val="en-GB"/>
              </w:rPr>
              <w:t>energy-dense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food</w:t>
            </w:r>
          </w:p>
        </w:tc>
      </w:tr>
      <w:tr w:rsidR="004D6791" w:rsidRPr="00DD5A35" w:rsidTr="00720AEF">
        <w:trPr>
          <w:trHeight w:val="217"/>
        </w:trPr>
        <w:tc>
          <w:tcPr>
            <w:tcW w:w="262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OR     95% CI</w:t>
            </w:r>
          </w:p>
        </w:tc>
      </w:tr>
      <w:tr w:rsidR="004D6791" w:rsidRPr="00DD5A35" w:rsidTr="00720AEF">
        <w:trPr>
          <w:trHeight w:val="32"/>
        </w:trPr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0A1573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>Stratified analysis by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perceived weight status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fat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815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176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467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 (0.8-1.8)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172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1.6 (1.0-2.5)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1896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317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1.0 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1021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1.4 (1.0-2.0)*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558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2.6 (1.8-3.6)*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thin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382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76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207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1.3 (0.6-2.8)</w:t>
            </w:r>
          </w:p>
        </w:tc>
      </w:tr>
      <w:tr w:rsidR="004D6791" w:rsidRPr="00641B01" w:rsidTr="00720AEF">
        <w:tc>
          <w:tcPr>
            <w:tcW w:w="262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99</w:t>
            </w: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1.9 (0.8-4.7)</w:t>
            </w:r>
          </w:p>
        </w:tc>
      </w:tr>
      <w:tr w:rsidR="004D6791" w:rsidRPr="00641B01" w:rsidTr="00720AEF"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4D6791" w:rsidRPr="00EC2182" w:rsidTr="00720AEF">
        <w:tc>
          <w:tcPr>
            <w:tcW w:w="5353" w:type="dxa"/>
            <w:gridSpan w:val="4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  <w:r w:rsidRPr="00641B01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641B01">
              <w:rPr>
                <w:rFonts w:ascii="Calibri" w:hAnsi="Calibri" w:cs="Calibri"/>
                <w:sz w:val="18"/>
                <w:szCs w:val="18"/>
                <w:lang w:val="en-GB"/>
              </w:rPr>
              <w:t>Model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s</w:t>
            </w:r>
            <w:r w:rsidRPr="00641B0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adjusted for age groups and regional strata east vs. west Germany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. * Significant on a 95% level of confidence.</w:t>
            </w:r>
          </w:p>
        </w:tc>
      </w:tr>
    </w:tbl>
    <w:p w:rsidR="004D6791" w:rsidRPr="0061589C" w:rsidRDefault="004D6791" w:rsidP="004D6791">
      <w:pPr>
        <w:rPr>
          <w:lang w:val="en-GB"/>
        </w:rPr>
      </w:pPr>
    </w:p>
    <w:p w:rsidR="004D6791" w:rsidRDefault="004D6791" w:rsidP="004D6791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900"/>
        <w:gridCol w:w="278"/>
        <w:gridCol w:w="1547"/>
      </w:tblGrid>
      <w:tr w:rsidR="004D6791" w:rsidRPr="000A1573" w:rsidTr="00720AEF">
        <w:tc>
          <w:tcPr>
            <w:tcW w:w="535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DD5A3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</w:t>
            </w:r>
            <w:r w:rsidR="00DD5A35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dds ratios (OR) of the association between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parental 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education and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HuSKY</w:t>
            </w:r>
            <w:proofErr w:type="spellEnd"/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stratified by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total energy expenditure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girls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aged 1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1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1</w:t>
            </w:r>
            <w:r w:rsidRPr="00641B0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4D6791" w:rsidRPr="00641B01" w:rsidTr="00720AEF"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>No. in sample</w:t>
            </w: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High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HuSKY</w:t>
            </w:r>
            <w:proofErr w:type="spellEnd"/>
          </w:p>
        </w:tc>
      </w:tr>
      <w:tr w:rsidR="004D6791" w:rsidRPr="00641B01" w:rsidTr="00720AEF">
        <w:tc>
          <w:tcPr>
            <w:tcW w:w="262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OR     95% CI</w:t>
            </w:r>
          </w:p>
        </w:tc>
      </w:tr>
      <w:tr w:rsidR="004D6791" w:rsidRPr="000A1573" w:rsidTr="00720AEF"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>Stratified analysis by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0A1BA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energy expenditure</w:t>
            </w: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947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197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548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 (0.8-1.7)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202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1.2 (0.8-2.09)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middle 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961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180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526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0.7 (0.5-1.1)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255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1.3 (0.8-2.1)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18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955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143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</w:t>
            </w:r>
          </w:p>
        </w:tc>
      </w:tr>
      <w:tr w:rsidR="004D6791" w:rsidRPr="00641B01" w:rsidTr="00720AEF">
        <w:tc>
          <w:tcPr>
            <w:tcW w:w="2628" w:type="dxa"/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900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497</w:t>
            </w:r>
          </w:p>
        </w:tc>
        <w:tc>
          <w:tcPr>
            <w:tcW w:w="278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1.0 (0.7-1.5)</w:t>
            </w:r>
          </w:p>
        </w:tc>
      </w:tr>
      <w:tr w:rsidR="004D6791" w:rsidRPr="00641B01" w:rsidTr="00720AEF">
        <w:tc>
          <w:tcPr>
            <w:tcW w:w="262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641B01">
              <w:rPr>
                <w:rFonts w:ascii="Calibri" w:hAnsi="Calibri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315</w:t>
            </w: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2.2 (1.5-3.4)*</w:t>
            </w:r>
          </w:p>
        </w:tc>
      </w:tr>
      <w:tr w:rsidR="004D6791" w:rsidRPr="00641B01" w:rsidTr="00720AEF">
        <w:tc>
          <w:tcPr>
            <w:tcW w:w="262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</w:tc>
      </w:tr>
      <w:tr w:rsidR="004D6791" w:rsidRPr="00EC2182" w:rsidTr="00720AEF">
        <w:tc>
          <w:tcPr>
            <w:tcW w:w="5353" w:type="dxa"/>
            <w:gridSpan w:val="4"/>
            <w:shd w:val="clear" w:color="auto" w:fill="auto"/>
          </w:tcPr>
          <w:p w:rsidR="004D6791" w:rsidRPr="00641B01" w:rsidRDefault="004D6791" w:rsidP="00720A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  <w:r w:rsidRPr="00641B01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641B01">
              <w:rPr>
                <w:rFonts w:ascii="Calibri" w:hAnsi="Calibri" w:cs="Calibri"/>
                <w:sz w:val="18"/>
                <w:szCs w:val="18"/>
                <w:lang w:val="en-GB"/>
              </w:rPr>
              <w:t>Model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s</w:t>
            </w:r>
            <w:r w:rsidRPr="00641B0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adjusted for age groups and regional strata east vs. west Germany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. * Significant on a 95% level of confidence.</w:t>
            </w:r>
          </w:p>
        </w:tc>
      </w:tr>
    </w:tbl>
    <w:p w:rsidR="004D6791" w:rsidRDefault="004D6791" w:rsidP="004D6791">
      <w:pPr>
        <w:rPr>
          <w:lang w:val="en-GB"/>
        </w:rPr>
      </w:pPr>
    </w:p>
    <w:p w:rsidR="004D6791" w:rsidRDefault="004D6791"/>
    <w:p w:rsidR="004D6791" w:rsidRDefault="004D6791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806"/>
        <w:gridCol w:w="2403"/>
        <w:gridCol w:w="236"/>
        <w:gridCol w:w="2399"/>
        <w:gridCol w:w="236"/>
        <w:gridCol w:w="2478"/>
      </w:tblGrid>
      <w:tr w:rsidR="00E557C9" w:rsidRPr="000A1573" w:rsidTr="00F744C1">
        <w:tc>
          <w:tcPr>
            <w:tcW w:w="955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E557C9" w:rsidRDefault="00E557C9" w:rsidP="00B139A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</w:t>
            </w:r>
            <w:r w:rsidR="00DD5A35">
              <w:rPr>
                <w:rFonts w:ascii="Calibri" w:hAnsi="Calibri"/>
                <w:b/>
                <w:sz w:val="20"/>
                <w:szCs w:val="20"/>
                <w:lang w:val="en-GB"/>
              </w:rPr>
              <w:t>3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Mediation analyses o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 the association between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parental 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education and </w:t>
            </w:r>
            <w:r w:rsidR="000A157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low intake of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energy-dense food</w:t>
            </w:r>
            <w:r w:rsidR="000A157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6DE7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adjusted for </w:t>
            </w:r>
            <w:r w:rsidR="00F162DB">
              <w:rPr>
                <w:rFonts w:ascii="Calibri" w:hAnsi="Calibri"/>
                <w:b/>
                <w:sz w:val="20"/>
                <w:szCs w:val="20"/>
                <w:lang w:val="en-GB"/>
              </w:rPr>
              <w:t>media use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</w:t>
            </w:r>
            <w:r w:rsidR="00CE25E4">
              <w:rPr>
                <w:rFonts w:ascii="Calibri" w:hAnsi="Calibri"/>
                <w:b/>
                <w:sz w:val="20"/>
                <w:szCs w:val="20"/>
                <w:lang w:val="en-GB"/>
              </w:rPr>
              <w:t>familial</w:t>
            </w:r>
            <w:r w:rsidR="00F162D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leisure activity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boys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girls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aged 1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>7</w:t>
            </w:r>
          </w:p>
          <w:p w:rsidR="00822607" w:rsidRPr="00822607" w:rsidRDefault="00822607" w:rsidP="00B139A4">
            <w:pPr>
              <w:rPr>
                <w:rFonts w:ascii="Calibri" w:hAnsi="Calibri" w:cs="Arial"/>
                <w:b/>
                <w:sz w:val="8"/>
                <w:szCs w:val="8"/>
                <w:lang w:val="en-GB"/>
              </w:rPr>
            </w:pPr>
          </w:p>
        </w:tc>
      </w:tr>
      <w:tr w:rsidR="00E557C9" w:rsidRPr="000A1573" w:rsidTr="00F744C1">
        <w:tc>
          <w:tcPr>
            <w:tcW w:w="1806" w:type="dxa"/>
            <w:tcBorders>
              <w:top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7C9" w:rsidRPr="007B6DE7" w:rsidRDefault="00E557C9" w:rsidP="00F162DB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Basic Model; age + region +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parental 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:rsidR="00E557C9" w:rsidRPr="007B6DE7" w:rsidRDefault="00E557C9" w:rsidP="00E557C9">
            <w:pPr>
              <w:ind w:left="33" w:hanging="33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7C9" w:rsidRPr="007B6DE7" w:rsidRDefault="00E557C9" w:rsidP="00F162DB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Model 1; Basic Model + </w:t>
            </w:r>
            <w:r w:rsidR="00F162D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E557C9" w:rsidRPr="007B6DE7" w:rsidRDefault="00E557C9" w:rsidP="00654DF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:rsidR="00E557C9" w:rsidRPr="007B6DE7" w:rsidRDefault="00E557C9" w:rsidP="00D06A2B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Model </w:t>
            </w:r>
            <w:r w:rsidR="00D06A2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2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; Basic Model + </w:t>
            </w:r>
            <w:r w:rsidR="006007C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familial</w:t>
            </w:r>
            <w:r w:rsidR="00F162DB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leisure activity</w:t>
            </w: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rPr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</w:tr>
      <w:tr w:rsidR="00E557C9" w:rsidRPr="007B6DE7" w:rsidTr="00F744C1">
        <w:trPr>
          <w:trHeight w:val="184"/>
        </w:trPr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403" w:type="dxa"/>
            <w:tcBorders>
              <w:top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</w:tcBorders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rPr>
          <w:trHeight w:val="184"/>
        </w:trPr>
        <w:tc>
          <w:tcPr>
            <w:tcW w:w="1806" w:type="dxa"/>
            <w:shd w:val="clear" w:color="auto" w:fill="auto"/>
          </w:tcPr>
          <w:p w:rsidR="00E557C9" w:rsidRPr="007B6DE7" w:rsidRDefault="00E557C9" w:rsidP="00654DF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Parental e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2403" w:type="dxa"/>
            <w:shd w:val="clear" w:color="auto" w:fill="auto"/>
          </w:tcPr>
          <w:p w:rsidR="00E557C9" w:rsidRPr="000A1E0B" w:rsidRDefault="00E557C9" w:rsidP="00F162DB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1E0B">
              <w:rPr>
                <w:rFonts w:ascii="Calibri" w:hAnsi="Calibri" w:cs="Arial"/>
                <w:sz w:val="20"/>
                <w:szCs w:val="20"/>
                <w:lang w:val="en-GB"/>
              </w:rPr>
              <w:t>1.5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 (1.22-1.9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0.00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F162DB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48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16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-1.9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A12FF7">
              <w:rPr>
                <w:rFonts w:ascii="Calibri" w:hAnsi="Calibri" w:cs="Arial"/>
                <w:sz w:val="20"/>
                <w:szCs w:val="20"/>
                <w:lang w:val="en-GB"/>
              </w:rPr>
              <w:t>)      0.00</w:t>
            </w:r>
            <w:r w:rsidR="00F162DB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8574E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F814DC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(1.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19-1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91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01</w:t>
            </w:r>
          </w:p>
        </w:tc>
      </w:tr>
      <w:tr w:rsidR="00E557C9" w:rsidRPr="00F162DB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2403" w:type="dxa"/>
            <w:shd w:val="clear" w:color="auto" w:fill="auto"/>
          </w:tcPr>
          <w:p w:rsidR="00E557C9" w:rsidRPr="000A1E0B" w:rsidRDefault="00F162DB" w:rsidP="00F162DB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2.41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-2.9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F162DB" w:rsidP="00F162DB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2.18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-2.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72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F814DC" w:rsidP="008574E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32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88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88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</w:tr>
      <w:tr w:rsidR="00E557C9" w:rsidRPr="00F162DB" w:rsidTr="00F744C1">
        <w:trPr>
          <w:trHeight w:val="56"/>
        </w:trPr>
        <w:tc>
          <w:tcPr>
            <w:tcW w:w="1806" w:type="dxa"/>
            <w:shd w:val="clear" w:color="auto" w:fill="auto"/>
          </w:tcPr>
          <w:p w:rsidR="00E557C9" w:rsidRPr="00F737C3" w:rsidRDefault="00E557C9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E557C9" w:rsidRPr="00F737C3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F737C3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F737C3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E557C9" w:rsidRPr="00F737C3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E557C9" w:rsidRPr="00F737C3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E557C9" w:rsidRPr="00F162DB" w:rsidTr="00F744C1">
        <w:tc>
          <w:tcPr>
            <w:tcW w:w="1806" w:type="dxa"/>
            <w:shd w:val="clear" w:color="auto" w:fill="auto"/>
          </w:tcPr>
          <w:p w:rsidR="00E557C9" w:rsidRPr="007B6DE7" w:rsidRDefault="00F162DB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F162DB" w:rsidTr="00F744C1">
        <w:tc>
          <w:tcPr>
            <w:tcW w:w="1806" w:type="dxa"/>
            <w:shd w:val="clear" w:color="auto" w:fill="auto"/>
          </w:tcPr>
          <w:p w:rsidR="00E557C9" w:rsidRPr="007B6DE7" w:rsidRDefault="007428F5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F162DB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7428F5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67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81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D41B6E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36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7428F5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7428F5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45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36-0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57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000</w:t>
            </w:r>
          </w:p>
        </w:tc>
        <w:tc>
          <w:tcPr>
            <w:tcW w:w="236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67</w:t>
            </w:r>
            <w:r w:rsidR="007E7B76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  <w:r w:rsidR="007E7B76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00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053</w:t>
            </w:r>
          </w:p>
        </w:tc>
        <w:tc>
          <w:tcPr>
            <w:tcW w:w="236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F737C3" w:rsidRPr="00F737C3" w:rsidTr="00F744C1">
        <w:tc>
          <w:tcPr>
            <w:tcW w:w="1806" w:type="dxa"/>
            <w:shd w:val="clear" w:color="auto" w:fill="auto"/>
          </w:tcPr>
          <w:p w:rsidR="00F737C3" w:rsidRPr="00F737C3" w:rsidRDefault="00F737C3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F737C3" w:rsidRPr="00F737C3" w:rsidRDefault="00F737C3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737C3" w:rsidRPr="00F737C3" w:rsidRDefault="00F737C3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F737C3" w:rsidRPr="00F737C3" w:rsidRDefault="00F737C3" w:rsidP="001D761A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F737C3" w:rsidRPr="00F737C3" w:rsidRDefault="00F737C3" w:rsidP="001D761A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F737C3" w:rsidRPr="00F737C3" w:rsidRDefault="00F737C3" w:rsidP="001D761A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F737C3" w:rsidRPr="007B6DE7" w:rsidTr="00F744C1">
        <w:tc>
          <w:tcPr>
            <w:tcW w:w="1806" w:type="dxa"/>
            <w:shd w:val="clear" w:color="auto" w:fill="auto"/>
          </w:tcPr>
          <w:p w:rsidR="00F737C3" w:rsidRPr="00F737C3" w:rsidRDefault="00CE25E4" w:rsidP="00F737C3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Familial</w:t>
            </w:r>
            <w:r w:rsidR="007428F5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leisure activity</w:t>
            </w:r>
          </w:p>
        </w:tc>
        <w:tc>
          <w:tcPr>
            <w:tcW w:w="2403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F737C3" w:rsidRPr="007B6DE7" w:rsidTr="00F744C1">
        <w:tc>
          <w:tcPr>
            <w:tcW w:w="1806" w:type="dxa"/>
            <w:shd w:val="clear" w:color="auto" w:fill="auto"/>
          </w:tcPr>
          <w:p w:rsidR="00F737C3" w:rsidRDefault="00CE25E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F737C3" w:rsidRDefault="00712A4B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F737C3" w:rsidRPr="007B6DE7" w:rsidTr="00F744C1">
        <w:tc>
          <w:tcPr>
            <w:tcW w:w="1806" w:type="dxa"/>
            <w:shd w:val="clear" w:color="auto" w:fill="auto"/>
          </w:tcPr>
          <w:p w:rsidR="00F737C3" w:rsidRDefault="00CE25E4" w:rsidP="00A12FF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o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w</w:t>
            </w:r>
          </w:p>
        </w:tc>
        <w:tc>
          <w:tcPr>
            <w:tcW w:w="2403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F737C3" w:rsidRDefault="00F814DC" w:rsidP="008574E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74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 xml:space="preserve">)     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712A4B"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100</w:t>
            </w:r>
          </w:p>
        </w:tc>
      </w:tr>
      <w:tr w:rsidR="00F737C3" w:rsidRPr="007B6DE7" w:rsidTr="00F744C1">
        <w:tc>
          <w:tcPr>
            <w:tcW w:w="1806" w:type="dxa"/>
            <w:shd w:val="clear" w:color="auto" w:fill="auto"/>
          </w:tcPr>
          <w:p w:rsidR="00F737C3" w:rsidRDefault="00F737C3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737C3" w:rsidRPr="007B6DE7" w:rsidRDefault="00F737C3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F737C3" w:rsidRDefault="00F737C3" w:rsidP="001D761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F737C3" w:rsidRDefault="00F814DC" w:rsidP="008574E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64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41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-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99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)      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0.0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  <w:r w:rsidR="008574ED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</w:p>
        </w:tc>
      </w:tr>
      <w:tr w:rsidR="00E557C9" w:rsidRPr="007B6DE7" w:rsidTr="00F744C1">
        <w:trPr>
          <w:trHeight w:val="88"/>
        </w:trPr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654DF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Parental e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E557C9" w:rsidRPr="007B6DE7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E557C9" w:rsidP="007428F5">
            <w:pPr>
              <w:rPr>
                <w:rFonts w:ascii="Calibri" w:hAnsi="Calibri" w:cs="Arial"/>
                <w:sz w:val="18"/>
                <w:szCs w:val="20"/>
                <w:lang w:val="en-GB"/>
              </w:rPr>
            </w:pPr>
            <w:r w:rsidRPr="001D761A"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A12FF7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Pr="001D761A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(1.0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  <w:r w:rsidRPr="001D761A">
              <w:rPr>
                <w:rFonts w:ascii="Calibri" w:hAnsi="Calibri" w:cs="Arial"/>
                <w:sz w:val="20"/>
                <w:szCs w:val="20"/>
                <w:lang w:val="en-GB"/>
              </w:rPr>
              <w:t>-1.6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  <w:r w:rsidRPr="001D761A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0.0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E557C9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1.2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(1.0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59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</w:t>
            </w:r>
            <w:r w:rsidR="00A12FF7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8F65F8" w:rsidP="00C67CC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26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57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0.0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37</w:t>
            </w:r>
          </w:p>
        </w:tc>
      </w:tr>
      <w:tr w:rsidR="00E557C9" w:rsidRPr="00C67CC5" w:rsidTr="00F744C1">
        <w:tc>
          <w:tcPr>
            <w:tcW w:w="1806" w:type="dxa"/>
            <w:shd w:val="clear" w:color="auto" w:fill="auto"/>
          </w:tcPr>
          <w:p w:rsidR="00E557C9" w:rsidRPr="007B6DE7" w:rsidRDefault="00E557C9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2403" w:type="dxa"/>
            <w:shd w:val="clear" w:color="auto" w:fill="auto"/>
          </w:tcPr>
          <w:p w:rsidR="00E557C9" w:rsidRPr="007B6DE7" w:rsidRDefault="007428F5" w:rsidP="00EC770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2.10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(1.6</w:t>
            </w:r>
            <w:r w:rsidR="00EC7702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-2.6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  <w:tc>
          <w:tcPr>
            <w:tcW w:w="236" w:type="dxa"/>
            <w:shd w:val="clear" w:color="auto" w:fill="auto"/>
          </w:tcPr>
          <w:p w:rsidR="00E557C9" w:rsidRPr="007B6DE7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B6DE7" w:rsidRDefault="007428F5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84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44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-2.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35</w:t>
            </w:r>
            <w:r w:rsidR="00E557C9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  <w:tc>
          <w:tcPr>
            <w:tcW w:w="236" w:type="dxa"/>
          </w:tcPr>
          <w:p w:rsidR="00E557C9" w:rsidRDefault="00E557C9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E557C9" w:rsidRDefault="00C67CC5" w:rsidP="00C67CC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99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56-2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54</w:t>
            </w:r>
            <w:r w:rsidR="00417836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 w:rsidR="008F65F8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0.000</w:t>
            </w:r>
          </w:p>
        </w:tc>
      </w:tr>
      <w:tr w:rsidR="00E557C9" w:rsidRPr="00C67CC5" w:rsidTr="00F744C1">
        <w:tc>
          <w:tcPr>
            <w:tcW w:w="1806" w:type="dxa"/>
            <w:shd w:val="clear" w:color="auto" w:fill="auto"/>
          </w:tcPr>
          <w:p w:rsidR="00E557C9" w:rsidRPr="00712A4B" w:rsidRDefault="00E557C9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E557C9" w:rsidRPr="00712A4B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557C9" w:rsidRPr="00712A4B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E557C9" w:rsidRPr="00712A4B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E557C9" w:rsidRPr="00712A4B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E557C9" w:rsidRPr="00712A4B" w:rsidRDefault="00E557C9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7428F5" w:rsidRPr="00C67CC5" w:rsidTr="00F744C1">
        <w:tc>
          <w:tcPr>
            <w:tcW w:w="1806" w:type="dxa"/>
            <w:shd w:val="clear" w:color="auto" w:fill="auto"/>
          </w:tcPr>
          <w:p w:rsidR="007428F5" w:rsidRPr="007B6DE7" w:rsidRDefault="007428F5" w:rsidP="00407717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403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428F5" w:rsidRPr="00C67CC5" w:rsidTr="00F744C1">
        <w:tc>
          <w:tcPr>
            <w:tcW w:w="1806" w:type="dxa"/>
            <w:shd w:val="clear" w:color="auto" w:fill="auto"/>
          </w:tcPr>
          <w:p w:rsidR="007428F5" w:rsidRPr="007B6DE7" w:rsidRDefault="007428F5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428F5" w:rsidRPr="00C67CC5" w:rsidTr="00F744C1">
        <w:tc>
          <w:tcPr>
            <w:tcW w:w="1806" w:type="dxa"/>
            <w:shd w:val="clear" w:color="auto" w:fill="auto"/>
          </w:tcPr>
          <w:p w:rsidR="007428F5" w:rsidRPr="007B6DE7" w:rsidRDefault="007428F5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7B6DE7" w:rsidRDefault="007428F5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0.72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60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-0.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87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001</w:t>
            </w:r>
          </w:p>
        </w:tc>
        <w:tc>
          <w:tcPr>
            <w:tcW w:w="236" w:type="dxa"/>
          </w:tcPr>
          <w:p w:rsidR="007428F5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7428F5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428F5" w:rsidRPr="00C67CC5" w:rsidTr="00F744C1">
        <w:tc>
          <w:tcPr>
            <w:tcW w:w="1806" w:type="dxa"/>
            <w:shd w:val="clear" w:color="auto" w:fill="auto"/>
          </w:tcPr>
          <w:p w:rsidR="007428F5" w:rsidRPr="007B6DE7" w:rsidRDefault="00CE25E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</w:t>
            </w:r>
            <w:r w:rsidR="007428F5">
              <w:rPr>
                <w:rFonts w:ascii="Calibri" w:hAnsi="Calibri" w:cs="Arial"/>
                <w:sz w:val="20"/>
                <w:szCs w:val="20"/>
                <w:lang w:val="en-GB"/>
              </w:rPr>
              <w:t>igh</w:t>
            </w:r>
          </w:p>
        </w:tc>
        <w:tc>
          <w:tcPr>
            <w:tcW w:w="2403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7B6DE7" w:rsidRDefault="007428F5" w:rsidP="00EC770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38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31-0.4</w:t>
            </w:r>
            <w:r w:rsidR="00EC7702"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36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428F5" w:rsidRPr="007B6DE7" w:rsidTr="00F744C1">
        <w:tc>
          <w:tcPr>
            <w:tcW w:w="1806" w:type="dxa"/>
            <w:shd w:val="clear" w:color="auto" w:fill="auto"/>
          </w:tcPr>
          <w:p w:rsidR="007428F5" w:rsidRDefault="007428F5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7B6DE7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7B6DE7" w:rsidRDefault="007428F5" w:rsidP="007428F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0.82 (0.54-1.23)      0.326</w:t>
            </w:r>
          </w:p>
        </w:tc>
        <w:tc>
          <w:tcPr>
            <w:tcW w:w="236" w:type="dxa"/>
          </w:tcPr>
          <w:p w:rsidR="007428F5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7428F5" w:rsidRDefault="007428F5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428F5" w:rsidRPr="00F737C3" w:rsidTr="00F744C1">
        <w:tc>
          <w:tcPr>
            <w:tcW w:w="1806" w:type="dxa"/>
            <w:shd w:val="clear" w:color="auto" w:fill="auto"/>
          </w:tcPr>
          <w:p w:rsidR="007428F5" w:rsidRPr="00F737C3" w:rsidRDefault="007428F5" w:rsidP="00276C7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7428F5" w:rsidRPr="00F737C3" w:rsidRDefault="007428F5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7428F5" w:rsidRPr="00F737C3" w:rsidRDefault="007428F5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7428F5" w:rsidRPr="00F737C3" w:rsidRDefault="007428F5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7428F5" w:rsidRPr="00F737C3" w:rsidRDefault="007428F5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7428F5" w:rsidRPr="00F737C3" w:rsidRDefault="007428F5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8574ED" w:rsidRPr="007B6DE7" w:rsidTr="00F744C1">
        <w:tc>
          <w:tcPr>
            <w:tcW w:w="1806" w:type="dxa"/>
            <w:shd w:val="clear" w:color="auto" w:fill="auto"/>
          </w:tcPr>
          <w:p w:rsidR="008574ED" w:rsidRPr="00F737C3" w:rsidRDefault="00CE25E4" w:rsidP="00407717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Familial</w:t>
            </w:r>
            <w:r w:rsidR="008574E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leisure activity</w:t>
            </w:r>
          </w:p>
        </w:tc>
        <w:tc>
          <w:tcPr>
            <w:tcW w:w="2403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574ED" w:rsidRPr="007B6DE7" w:rsidTr="00F744C1">
        <w:tc>
          <w:tcPr>
            <w:tcW w:w="1806" w:type="dxa"/>
            <w:shd w:val="clear" w:color="auto" w:fill="auto"/>
          </w:tcPr>
          <w:p w:rsidR="008574ED" w:rsidRDefault="00CE25E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8574ED" w:rsidRPr="007B6DE7" w:rsidTr="00F744C1">
        <w:tc>
          <w:tcPr>
            <w:tcW w:w="1806" w:type="dxa"/>
            <w:shd w:val="clear" w:color="auto" w:fill="auto"/>
          </w:tcPr>
          <w:p w:rsidR="008574ED" w:rsidRDefault="00CE25E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8574ED" w:rsidRDefault="008574ED" w:rsidP="00C67CC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0.8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70-0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97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018</w:t>
            </w:r>
          </w:p>
        </w:tc>
      </w:tr>
      <w:tr w:rsidR="008574ED" w:rsidRPr="007B6DE7" w:rsidTr="00F744C1">
        <w:tc>
          <w:tcPr>
            <w:tcW w:w="1806" w:type="dxa"/>
            <w:tcBorders>
              <w:bottom w:val="single" w:sz="6" w:space="0" w:color="auto"/>
            </w:tcBorders>
            <w:shd w:val="clear" w:color="auto" w:fill="auto"/>
          </w:tcPr>
          <w:p w:rsidR="008574ED" w:rsidRDefault="008574ED" w:rsidP="00276C7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tcBorders>
              <w:bottom w:val="single" w:sz="6" w:space="0" w:color="auto"/>
            </w:tcBorders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8574ED" w:rsidRPr="007B6DE7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bottom w:val="single" w:sz="6" w:space="0" w:color="auto"/>
            </w:tcBorders>
            <w:shd w:val="clear" w:color="auto" w:fill="auto"/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8574ED" w:rsidRDefault="008574E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bottom w:val="single" w:sz="6" w:space="0" w:color="auto"/>
            </w:tcBorders>
          </w:tcPr>
          <w:p w:rsidR="008574ED" w:rsidRDefault="008574ED" w:rsidP="00C67CC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45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29-0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69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 w:rsidR="00C67CC5">
              <w:rPr>
                <w:rFonts w:ascii="Calibri" w:hAnsi="Calibri" w:cs="Arial"/>
                <w:sz w:val="20"/>
                <w:szCs w:val="20"/>
                <w:lang w:val="en-GB"/>
              </w:rPr>
              <w:t>000</w:t>
            </w:r>
          </w:p>
        </w:tc>
      </w:tr>
      <w:tr w:rsidR="008574ED" w:rsidRPr="000A1573" w:rsidTr="00F744C1">
        <w:tc>
          <w:tcPr>
            <w:tcW w:w="9558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822607" w:rsidRPr="00822607" w:rsidRDefault="00822607" w:rsidP="00E557C9">
            <w:pPr>
              <w:rPr>
                <w:rFonts w:ascii="Calibri" w:hAnsi="Calibri"/>
                <w:sz w:val="8"/>
                <w:szCs w:val="8"/>
                <w:vertAlign w:val="superscript"/>
                <w:lang w:val="en-GB"/>
              </w:rPr>
            </w:pPr>
          </w:p>
          <w:p w:rsidR="008574ED" w:rsidRDefault="008574ED" w:rsidP="009505F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proofErr w:type="gramEnd"/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Energy-dense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 food intake is defined as ‘</w:t>
            </w:r>
            <w:r w:rsidR="009505FC">
              <w:rPr>
                <w:rFonts w:ascii="Calibri" w:hAnsi="Calibri"/>
                <w:sz w:val="18"/>
                <w:szCs w:val="18"/>
                <w:lang w:val="en-GB"/>
              </w:rPr>
              <w:t>low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’ using the </w:t>
            </w:r>
            <w:r w:rsidR="009505FC">
              <w:rPr>
                <w:rFonts w:ascii="Calibri" w:hAnsi="Calibri"/>
                <w:sz w:val="18"/>
                <w:szCs w:val="18"/>
                <w:lang w:val="en-GB"/>
              </w:rPr>
              <w:t>lower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 limit of the 3</w:t>
            </w:r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rd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 quintile as the cut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-off 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>point dividing the population in 40% versus 60%.</w:t>
            </w:r>
          </w:p>
        </w:tc>
      </w:tr>
    </w:tbl>
    <w:p w:rsidR="00AB11BC" w:rsidRDefault="00AB11BC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1276AD" w:rsidRDefault="001276AD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F744C1" w:rsidRDefault="00F744C1">
      <w:pPr>
        <w:rPr>
          <w:lang w:val="en-GB"/>
        </w:rPr>
      </w:pPr>
    </w:p>
    <w:p w:rsidR="001276AD" w:rsidRDefault="001276AD">
      <w:pPr>
        <w:rPr>
          <w:lang w:val="en-GB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806"/>
        <w:gridCol w:w="2403"/>
        <w:gridCol w:w="236"/>
        <w:gridCol w:w="2399"/>
        <w:gridCol w:w="236"/>
        <w:gridCol w:w="2478"/>
      </w:tblGrid>
      <w:tr w:rsidR="001276AD" w:rsidRPr="000A1573" w:rsidTr="00F744C1">
        <w:tc>
          <w:tcPr>
            <w:tcW w:w="955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1276AD" w:rsidRDefault="00B139A4" w:rsidP="00B139A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</w:t>
            </w:r>
            <w:r w:rsidR="00DD5A35">
              <w:rPr>
                <w:rFonts w:ascii="Calibri" w:hAnsi="Calibri"/>
                <w:b/>
                <w:sz w:val="20"/>
                <w:szCs w:val="20"/>
                <w:lang w:val="en-GB"/>
              </w:rPr>
              <w:t>4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Mediation analyses o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 the association between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parental 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education and </w:t>
            </w:r>
            <w:r w:rsidR="000A157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high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HuSKY</w:t>
            </w:r>
            <w:proofErr w:type="spellEnd"/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6DE7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adjusted for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media use and </w:t>
            </w:r>
            <w:r w:rsidR="00CB38BD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energy expenditure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boys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girls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aged 1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/>
                <w:b/>
                <w:sz w:val="20"/>
                <w:szCs w:val="20"/>
                <w:lang w:val="en-GB"/>
              </w:rPr>
              <w:t>7</w:t>
            </w:r>
          </w:p>
          <w:p w:rsidR="00822607" w:rsidRPr="00822607" w:rsidRDefault="00822607" w:rsidP="00B139A4">
            <w:pPr>
              <w:rPr>
                <w:rFonts w:ascii="Calibri" w:hAnsi="Calibri" w:cs="Arial"/>
                <w:b/>
                <w:sz w:val="8"/>
                <w:szCs w:val="8"/>
                <w:lang w:val="en-GB"/>
              </w:rPr>
            </w:pPr>
          </w:p>
        </w:tc>
      </w:tr>
      <w:tr w:rsidR="001276AD" w:rsidRPr="000A1573" w:rsidTr="00F744C1">
        <w:tc>
          <w:tcPr>
            <w:tcW w:w="1806" w:type="dxa"/>
            <w:tcBorders>
              <w:top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76AD" w:rsidRPr="007B6DE7" w:rsidRDefault="001276AD" w:rsidP="00B139A4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Basic Model; age + region +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parental 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ind w:left="33" w:hanging="33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Model 1; Basic Model +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1276AD" w:rsidRPr="007B6DE7" w:rsidRDefault="001276AD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:rsidR="001276AD" w:rsidRPr="007B6DE7" w:rsidRDefault="001276AD" w:rsidP="008425F9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Model </w:t>
            </w:r>
            <w:r w:rsidR="008425F9">
              <w:rPr>
                <w:rFonts w:ascii="Calibri" w:hAnsi="Calibri" w:cs="Arial"/>
                <w:b/>
                <w:sz w:val="20"/>
                <w:szCs w:val="20"/>
                <w:lang w:val="en-GB"/>
              </w:rPr>
              <w:t>2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; Basic Model + </w:t>
            </w:r>
            <w:r w:rsidR="008425F9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total </w:t>
            </w:r>
            <w:r w:rsidR="00B139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energy expenditure</w:t>
            </w: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rPr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OR   95% CI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  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P-value</w:t>
            </w:r>
          </w:p>
        </w:tc>
      </w:tr>
      <w:tr w:rsidR="001276AD" w:rsidRPr="007B6DE7" w:rsidTr="00F744C1">
        <w:trPr>
          <w:trHeight w:val="184"/>
        </w:trPr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403" w:type="dxa"/>
            <w:tcBorders>
              <w:top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top w:val="single" w:sz="6" w:space="0" w:color="auto"/>
            </w:tcBorders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rPr>
          <w:trHeight w:val="184"/>
        </w:trPr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Parental e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2403" w:type="dxa"/>
            <w:shd w:val="clear" w:color="auto" w:fill="auto"/>
          </w:tcPr>
          <w:p w:rsidR="001276AD" w:rsidRPr="000A1E0B" w:rsidRDefault="00C304AE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1276AD" w:rsidRPr="000A1E0B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89 (0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72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294</w:t>
            </w: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C304AE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87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09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)      0.2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C95F23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88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09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237</w:t>
            </w: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2403" w:type="dxa"/>
            <w:shd w:val="clear" w:color="auto" w:fill="auto"/>
          </w:tcPr>
          <w:p w:rsidR="001276AD" w:rsidRPr="000A1E0B" w:rsidRDefault="00C304AE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15-1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88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 xml:space="preserve">)     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C304AE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42 (1.11-1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)      0.00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43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12-1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82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0.00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</w:tr>
      <w:tr w:rsidR="001276AD" w:rsidRPr="00F737C3" w:rsidTr="00F744C1">
        <w:trPr>
          <w:trHeight w:val="56"/>
        </w:trPr>
        <w:tc>
          <w:tcPr>
            <w:tcW w:w="1806" w:type="dxa"/>
            <w:shd w:val="clear" w:color="auto" w:fill="auto"/>
          </w:tcPr>
          <w:p w:rsidR="001276AD" w:rsidRPr="00F737C3" w:rsidRDefault="001276AD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C304AE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0.84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69-1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04</w:t>
            </w:r>
            <w:r w:rsidR="001276AD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103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7B6DE7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77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62-0.95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)      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Default="001276AD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7B6DE7" w:rsidRDefault="001276AD" w:rsidP="00C304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0.8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(0.5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26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 w:rsidR="00C304AE">
              <w:rPr>
                <w:rFonts w:ascii="Calibri" w:hAnsi="Calibri" w:cs="Arial"/>
                <w:sz w:val="20"/>
                <w:szCs w:val="20"/>
                <w:lang w:val="en-GB"/>
              </w:rPr>
              <w:t>380</w:t>
            </w: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276AD" w:rsidRPr="00F737C3" w:rsidTr="00F744C1">
        <w:tc>
          <w:tcPr>
            <w:tcW w:w="1806" w:type="dxa"/>
            <w:shd w:val="clear" w:color="auto" w:fill="auto"/>
          </w:tcPr>
          <w:p w:rsidR="001276AD" w:rsidRPr="00F737C3" w:rsidRDefault="001276AD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1276AD" w:rsidRPr="00F737C3" w:rsidRDefault="001276AD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1276AD" w:rsidRPr="007B6DE7" w:rsidTr="00F744C1">
        <w:tc>
          <w:tcPr>
            <w:tcW w:w="1806" w:type="dxa"/>
            <w:shd w:val="clear" w:color="auto" w:fill="auto"/>
          </w:tcPr>
          <w:p w:rsidR="001276AD" w:rsidRPr="00F737C3" w:rsidRDefault="00556FD4" w:rsidP="00556FD4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Total e</w:t>
            </w:r>
            <w:r w:rsidR="00B139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nergy expenditure</w:t>
            </w:r>
          </w:p>
        </w:tc>
        <w:tc>
          <w:tcPr>
            <w:tcW w:w="2403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276AD" w:rsidRPr="007B6DE7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1276AD" w:rsidRDefault="001276AD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1.4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73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0.001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46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18-1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80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0.00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C95F23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1.19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83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-1.6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340</w:t>
            </w:r>
          </w:p>
        </w:tc>
      </w:tr>
      <w:tr w:rsidR="00B139A4" w:rsidRPr="007B6DE7" w:rsidTr="00F744C1">
        <w:trPr>
          <w:trHeight w:val="88"/>
        </w:trPr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Parental e</w:t>
            </w:r>
            <w:r w:rsidRPr="007B6DE7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6F01B4" w:rsidP="00EC7702">
            <w:pPr>
              <w:rPr>
                <w:rFonts w:ascii="Calibri" w:hAnsi="Calibri" w:cs="Arial"/>
                <w:sz w:val="18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94 (0</w:t>
            </w:r>
            <w:r w:rsidR="00B139A4" w:rsidRPr="001D761A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75</w:t>
            </w:r>
            <w:r w:rsidR="00B139A4" w:rsidRPr="001D761A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18</w:t>
            </w:r>
            <w:r w:rsidR="00B139A4" w:rsidRPr="001D761A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0.</w:t>
            </w:r>
            <w:r w:rsidR="00EC7702">
              <w:rPr>
                <w:rFonts w:ascii="Calibri" w:hAnsi="Calibri" w:cs="Arial"/>
                <w:sz w:val="20"/>
                <w:szCs w:val="20"/>
                <w:lang w:val="en-GB"/>
              </w:rPr>
              <w:t>589</w:t>
            </w: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6F01B4" w:rsidP="00517CB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92 (0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74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16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 w:rsidR="00517CBE">
              <w:rPr>
                <w:rFonts w:ascii="Calibri" w:hAnsi="Calibri" w:cs="Arial"/>
                <w:sz w:val="20"/>
                <w:szCs w:val="20"/>
                <w:lang w:val="en-GB"/>
              </w:rPr>
              <w:t>484</w:t>
            </w: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C95F23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0.91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73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14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0.408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6F01B4" w:rsidP="006F01B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26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-2.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06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0.000</w:t>
            </w: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6F01B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49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16-1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91)      0.002</w:t>
            </w: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49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17-1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91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0.002</w:t>
            </w:r>
          </w:p>
        </w:tc>
      </w:tr>
      <w:tr w:rsidR="00B139A4" w:rsidRPr="00712A4B" w:rsidTr="00F744C1">
        <w:tc>
          <w:tcPr>
            <w:tcW w:w="1806" w:type="dxa"/>
            <w:shd w:val="clear" w:color="auto" w:fill="auto"/>
          </w:tcPr>
          <w:p w:rsidR="00B139A4" w:rsidRPr="00712A4B" w:rsidRDefault="00B139A4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B139A4" w:rsidRPr="00712A4B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12A4B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12A4B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B139A4" w:rsidRPr="00712A4B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B139A4" w:rsidRPr="00712A4B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Media use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6F01B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0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75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(0.6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-0.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94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0.0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B139A4" w:rsidP="006F01B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57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46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-0.7</w:t>
            </w:r>
            <w:r w:rsidR="006F01B4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    </w:t>
            </w:r>
            <w:r w:rsidRPr="007B6DE7">
              <w:rPr>
                <w:rFonts w:ascii="Calibri" w:hAnsi="Calibri" w:cs="Arial"/>
                <w:sz w:val="20"/>
                <w:szCs w:val="20"/>
                <w:lang w:val="en-GB"/>
              </w:rPr>
              <w:t>0.0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36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1276A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7B6DE7" w:rsidRDefault="006F01B4" w:rsidP="006F01B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14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75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74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F737C3" w:rsidTr="00F744C1">
        <w:tc>
          <w:tcPr>
            <w:tcW w:w="1806" w:type="dxa"/>
            <w:shd w:val="clear" w:color="auto" w:fill="auto"/>
          </w:tcPr>
          <w:p w:rsidR="00B139A4" w:rsidRPr="00F737C3" w:rsidRDefault="00B139A4" w:rsidP="001276AD">
            <w:pPr>
              <w:ind w:left="142"/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03" w:type="dxa"/>
            <w:shd w:val="clear" w:color="auto" w:fill="auto"/>
          </w:tcPr>
          <w:p w:rsidR="00B139A4" w:rsidRPr="00F737C3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F737C3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Pr="00F737C3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B139A4" w:rsidRPr="00F737C3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  <w:tc>
          <w:tcPr>
            <w:tcW w:w="2478" w:type="dxa"/>
          </w:tcPr>
          <w:p w:rsidR="00B139A4" w:rsidRPr="00F737C3" w:rsidRDefault="00B139A4" w:rsidP="001276AD">
            <w:pPr>
              <w:rPr>
                <w:rFonts w:ascii="Calibri" w:hAnsi="Calibri" w:cs="Arial"/>
                <w:sz w:val="8"/>
                <w:szCs w:val="8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F737C3" w:rsidRDefault="001D6A56" w:rsidP="001D6A56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Total e</w:t>
            </w:r>
            <w:r w:rsidR="00B139A4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nergy expenditure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low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1.0</w:t>
            </w:r>
          </w:p>
        </w:tc>
      </w:tr>
      <w:tr w:rsidR="00B139A4" w:rsidRPr="007B6DE7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middle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C95F23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1.34 (1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08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-1.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65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007</w:t>
            </w:r>
          </w:p>
        </w:tc>
      </w:tr>
      <w:tr w:rsidR="00B139A4" w:rsidRPr="00C95F23" w:rsidTr="00F744C1">
        <w:tc>
          <w:tcPr>
            <w:tcW w:w="1806" w:type="dxa"/>
            <w:shd w:val="clear" w:color="auto" w:fill="auto"/>
          </w:tcPr>
          <w:p w:rsidR="00B139A4" w:rsidRPr="007B6DE7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403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</w:tcPr>
          <w:p w:rsidR="00B139A4" w:rsidRDefault="00B139A4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95 (1.59-2.39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)      0.0</w:t>
            </w:r>
            <w:r w:rsidR="00C95F23">
              <w:rPr>
                <w:rFonts w:ascii="Calibri" w:hAnsi="Calibri" w:cs="Arial"/>
                <w:sz w:val="20"/>
                <w:szCs w:val="20"/>
                <w:lang w:val="en-GB"/>
              </w:rPr>
              <w:t>00</w:t>
            </w:r>
          </w:p>
        </w:tc>
      </w:tr>
      <w:tr w:rsidR="00B139A4" w:rsidRPr="00C95F23" w:rsidTr="00F744C1">
        <w:tc>
          <w:tcPr>
            <w:tcW w:w="1806" w:type="dxa"/>
            <w:tcBorders>
              <w:bottom w:val="single" w:sz="6" w:space="0" w:color="auto"/>
            </w:tcBorders>
            <w:shd w:val="clear" w:color="auto" w:fill="auto"/>
          </w:tcPr>
          <w:p w:rsidR="00B139A4" w:rsidRDefault="00B139A4" w:rsidP="00407717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2403" w:type="dxa"/>
            <w:tcBorders>
              <w:bottom w:val="single" w:sz="6" w:space="0" w:color="auto"/>
            </w:tcBorders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</w:tcPr>
          <w:p w:rsidR="00B139A4" w:rsidRPr="007B6DE7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tcBorders>
              <w:bottom w:val="single" w:sz="6" w:space="0" w:color="auto"/>
            </w:tcBorders>
            <w:shd w:val="clear" w:color="auto" w:fill="auto"/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B139A4" w:rsidRDefault="00B139A4" w:rsidP="001276A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478" w:type="dxa"/>
            <w:tcBorders>
              <w:bottom w:val="single" w:sz="6" w:space="0" w:color="auto"/>
            </w:tcBorders>
          </w:tcPr>
          <w:p w:rsidR="00B139A4" w:rsidRDefault="00C95F23" w:rsidP="00C95F23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1.77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28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.4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  <w:r w:rsidR="00B139A4">
              <w:rPr>
                <w:rFonts w:ascii="Calibri" w:hAnsi="Calibri" w:cs="Arial"/>
                <w:sz w:val="20"/>
                <w:szCs w:val="20"/>
                <w:lang w:val="en-GB"/>
              </w:rPr>
              <w:t>)      0.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001</w:t>
            </w:r>
          </w:p>
        </w:tc>
      </w:tr>
      <w:tr w:rsidR="00B139A4" w:rsidRPr="000A1573" w:rsidTr="00F744C1">
        <w:tc>
          <w:tcPr>
            <w:tcW w:w="9558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822607" w:rsidRPr="00822607" w:rsidRDefault="00822607" w:rsidP="00B139A4">
            <w:pPr>
              <w:rPr>
                <w:rFonts w:ascii="Calibri" w:hAnsi="Calibri"/>
                <w:sz w:val="8"/>
                <w:szCs w:val="8"/>
                <w:vertAlign w:val="superscript"/>
                <w:lang w:val="en-GB"/>
              </w:rPr>
            </w:pPr>
          </w:p>
          <w:p w:rsidR="00B139A4" w:rsidRDefault="00B139A4" w:rsidP="00B139A4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gramStart"/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Healthy Nutrition Score for Kid</w:t>
            </w:r>
            <w:r w:rsidRPr="00B139A4">
              <w:rPr>
                <w:rFonts w:ascii="Calibri" w:hAnsi="Calibri"/>
                <w:sz w:val="18"/>
                <w:szCs w:val="18"/>
                <w:lang w:val="en-GB"/>
              </w:rPr>
              <w:t>s and Youth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HuSKY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 is defined as ‘high’ using the upper limit of the 3</w:t>
            </w:r>
            <w:r w:rsidRPr="007B6DE7">
              <w:rPr>
                <w:rFonts w:ascii="Calibri" w:hAnsi="Calibri"/>
                <w:sz w:val="18"/>
                <w:szCs w:val="18"/>
                <w:vertAlign w:val="superscript"/>
                <w:lang w:val="en-GB"/>
              </w:rPr>
              <w:t>rd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 xml:space="preserve"> quintile as the cut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-off </w:t>
            </w:r>
            <w:r w:rsidRPr="007B6DE7">
              <w:rPr>
                <w:rFonts w:ascii="Calibri" w:hAnsi="Calibri"/>
                <w:sz w:val="18"/>
                <w:szCs w:val="18"/>
                <w:lang w:val="en-GB"/>
              </w:rPr>
              <w:t>point dividing the population in 40% versus 60%.</w:t>
            </w:r>
          </w:p>
        </w:tc>
      </w:tr>
    </w:tbl>
    <w:p w:rsidR="001276AD" w:rsidRPr="00B139A4" w:rsidRDefault="001276AD">
      <w:pPr>
        <w:rPr>
          <w:lang w:val="en-US"/>
        </w:rPr>
      </w:pPr>
    </w:p>
    <w:p w:rsidR="001276AD" w:rsidRDefault="001276AD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561A92" w:rsidRDefault="00561A92">
      <w:pPr>
        <w:rPr>
          <w:lang w:val="en-GB"/>
        </w:rPr>
      </w:pPr>
    </w:p>
    <w:p w:rsidR="00561A92" w:rsidRDefault="00561A92">
      <w:pPr>
        <w:rPr>
          <w:lang w:val="en-GB"/>
        </w:rPr>
      </w:pPr>
    </w:p>
    <w:p w:rsidR="00561A92" w:rsidRDefault="00561A92">
      <w:pPr>
        <w:rPr>
          <w:lang w:val="en-GB"/>
        </w:rPr>
      </w:pPr>
    </w:p>
    <w:p w:rsidR="00561A92" w:rsidRDefault="00561A92">
      <w:pPr>
        <w:rPr>
          <w:lang w:val="en-GB"/>
        </w:rPr>
      </w:pPr>
    </w:p>
    <w:p w:rsidR="00561A92" w:rsidRDefault="00561A92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Pr="0053176E" w:rsidRDefault="0053176E">
      <w:pPr>
        <w:rPr>
          <w:rFonts w:asciiTheme="minorHAnsi" w:hAnsiTheme="minorHAnsi"/>
          <w:b/>
          <w:sz w:val="22"/>
          <w:szCs w:val="22"/>
          <w:lang w:val="en-GB"/>
        </w:rPr>
      </w:pPr>
      <w:r w:rsidRPr="0053176E">
        <w:rPr>
          <w:rFonts w:asciiTheme="minorHAnsi" w:hAnsiTheme="minorHAnsi"/>
          <w:b/>
          <w:sz w:val="22"/>
          <w:szCs w:val="22"/>
          <w:lang w:val="en-GB"/>
        </w:rPr>
        <w:lastRenderedPageBreak/>
        <w:t>Figures</w:t>
      </w:r>
    </w:p>
    <w:p w:rsidR="00561A92" w:rsidRDefault="00561A92">
      <w:pPr>
        <w:rPr>
          <w:lang w:val="en-GB"/>
        </w:rPr>
      </w:pPr>
    </w:p>
    <w:p w:rsidR="00561A92" w:rsidRDefault="00561A92">
      <w:pPr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12D8D374">
            <wp:extent cx="5874105" cy="36668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70" cy="366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9B2" w:rsidRDefault="000D59B2">
      <w:pPr>
        <w:rPr>
          <w:lang w:val="en-GB"/>
        </w:rPr>
      </w:pPr>
    </w:p>
    <w:p w:rsidR="00561A92" w:rsidRPr="00561A92" w:rsidRDefault="00561A92">
      <w:pPr>
        <w:rPr>
          <w:rFonts w:asciiTheme="minorHAnsi" w:hAnsiTheme="minorHAnsi"/>
          <w:b/>
          <w:sz w:val="20"/>
          <w:szCs w:val="20"/>
          <w:lang w:val="en-GB"/>
        </w:rPr>
      </w:pPr>
      <w:proofErr w:type="gramStart"/>
      <w:r w:rsidRPr="00561A92">
        <w:rPr>
          <w:rFonts w:asciiTheme="minorHAnsi" w:hAnsiTheme="minorHAnsi"/>
          <w:b/>
          <w:sz w:val="20"/>
          <w:szCs w:val="20"/>
          <w:lang w:val="en-GB"/>
        </w:rPr>
        <w:t>Figure 1</w:t>
      </w:r>
      <w:r>
        <w:rPr>
          <w:rFonts w:asciiTheme="minorHAnsi" w:hAnsiTheme="minorHAnsi"/>
          <w:b/>
          <w:sz w:val="20"/>
          <w:szCs w:val="20"/>
          <w:lang w:val="en-GB"/>
        </w:rPr>
        <w:t>.</w:t>
      </w:r>
      <w:proofErr w:type="gramEnd"/>
      <w:r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>L</w:t>
      </w:r>
      <w:r w:rsidRPr="00137273">
        <w:rPr>
          <w:rFonts w:asciiTheme="minorHAnsi" w:hAnsiTheme="minorHAnsi"/>
          <w:b/>
          <w:sz w:val="20"/>
          <w:szCs w:val="20"/>
          <w:lang w:val="en-GB"/>
        </w:rPr>
        <w:t xml:space="preserve">evel of education </w:t>
      </w:r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 xml:space="preserve">assessment, </w:t>
      </w:r>
      <w:r w:rsidR="00137273">
        <w:rPr>
          <w:rFonts w:asciiTheme="minorHAnsi" w:hAnsiTheme="minorHAnsi"/>
          <w:b/>
          <w:sz w:val="20"/>
          <w:szCs w:val="20"/>
          <w:lang w:val="en-GB"/>
        </w:rPr>
        <w:t>according to</w:t>
      </w:r>
      <w:r w:rsidRPr="00137273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proofErr w:type="spellStart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>Schroedter</w:t>
      </w:r>
      <w:proofErr w:type="spellEnd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 xml:space="preserve">, </w:t>
      </w:r>
      <w:proofErr w:type="spellStart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>Lechert</w:t>
      </w:r>
      <w:proofErr w:type="spellEnd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 xml:space="preserve"> and </w:t>
      </w:r>
      <w:proofErr w:type="spellStart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>Lüttinger</w:t>
      </w:r>
      <w:proofErr w:type="spellEnd"/>
      <w:r w:rsidR="005520BB" w:rsidRPr="00137273">
        <w:rPr>
          <w:rFonts w:asciiTheme="minorHAnsi" w:hAnsiTheme="minorHAnsi"/>
          <w:b/>
          <w:sz w:val="20"/>
          <w:szCs w:val="20"/>
          <w:lang w:val="en-GB"/>
        </w:rPr>
        <w:t xml:space="preserve"> 2006</w:t>
      </w:r>
      <w:r w:rsidR="0053176E">
        <w:rPr>
          <w:rFonts w:asciiTheme="minorHAnsi" w:hAnsiTheme="minorHAnsi"/>
          <w:b/>
          <w:sz w:val="20"/>
          <w:szCs w:val="20"/>
          <w:lang w:val="en-GB"/>
        </w:rPr>
        <w:t xml:space="preserve"> (1)</w:t>
      </w:r>
      <w:r w:rsidRPr="00137273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561A92" w:rsidRDefault="00561A92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0D59B2" w:rsidRDefault="000D59B2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53176E" w:rsidRDefault="0053176E">
      <w:pPr>
        <w:rPr>
          <w:lang w:val="en-GB"/>
        </w:rPr>
      </w:pPr>
    </w:p>
    <w:p w:rsidR="000D59B2" w:rsidRDefault="0053176E">
      <w:pPr>
        <w:rPr>
          <w:rFonts w:asciiTheme="minorHAnsi" w:hAnsiTheme="minorHAnsi"/>
          <w:b/>
          <w:sz w:val="22"/>
          <w:szCs w:val="22"/>
          <w:lang w:val="en-GB"/>
        </w:rPr>
      </w:pPr>
      <w:r w:rsidRPr="0053176E">
        <w:rPr>
          <w:rFonts w:asciiTheme="minorHAnsi" w:hAnsiTheme="minorHAnsi"/>
          <w:b/>
          <w:sz w:val="22"/>
          <w:szCs w:val="22"/>
          <w:lang w:val="en-GB"/>
        </w:rPr>
        <w:t>References</w:t>
      </w:r>
    </w:p>
    <w:p w:rsidR="0053176E" w:rsidRPr="0053176E" w:rsidRDefault="0053176E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53176E" w:rsidRPr="0053176E" w:rsidRDefault="0053176E" w:rsidP="0053176E">
      <w:pPr>
        <w:pStyle w:val="EndNoteBibliography"/>
        <w:ind w:left="705" w:hanging="705"/>
        <w:rPr>
          <w:rFonts w:asciiTheme="minorHAnsi" w:hAnsiTheme="minorHAnsi"/>
          <w:sz w:val="22"/>
          <w:szCs w:val="22"/>
        </w:rPr>
      </w:pPr>
      <w:r w:rsidRPr="0053176E">
        <w:rPr>
          <w:rFonts w:asciiTheme="minorHAnsi" w:hAnsiTheme="minorHAnsi"/>
          <w:sz w:val="22"/>
          <w:szCs w:val="22"/>
        </w:rPr>
        <w:t>(1)</w:t>
      </w:r>
      <w:r w:rsidRPr="0053176E">
        <w:rPr>
          <w:rFonts w:asciiTheme="minorHAnsi" w:hAnsiTheme="minorHAnsi"/>
          <w:sz w:val="22"/>
          <w:szCs w:val="22"/>
        </w:rPr>
        <w:tab/>
      </w:r>
      <w:r w:rsidRPr="0053176E">
        <w:rPr>
          <w:rFonts w:asciiTheme="minorHAnsi" w:hAnsiTheme="minorHAnsi"/>
          <w:sz w:val="22"/>
          <w:szCs w:val="22"/>
        </w:rPr>
        <w:t>Schroedter JH, Lechert Y, Lüttinger P. Die Umsetzung de</w:t>
      </w:r>
      <w:r w:rsidRPr="0053176E">
        <w:rPr>
          <w:rFonts w:asciiTheme="minorHAnsi" w:hAnsiTheme="minorHAnsi"/>
          <w:sz w:val="22"/>
          <w:szCs w:val="22"/>
        </w:rPr>
        <w:t xml:space="preserve">r Bildungsklassifikation CASMIN </w:t>
      </w:r>
      <w:r w:rsidRPr="0053176E">
        <w:rPr>
          <w:rFonts w:asciiTheme="minorHAnsi" w:hAnsiTheme="minorHAnsi"/>
          <w:sz w:val="22"/>
          <w:szCs w:val="22"/>
        </w:rPr>
        <w:t>für die Volkszählung 1970, die Mikrozensus-Zusatzerhebung 1971 und die Mikrozensen 1976-2004 [Transformation of the CASMIN education classification for the census 1970, the micro-census supplement 1971 and the micro-censuses 1976-2004]  ZUMA Methodenbericht. 2006;12:1-58.</w:t>
      </w:r>
    </w:p>
    <w:p w:rsidR="0053176E" w:rsidRPr="0053176E" w:rsidRDefault="0053176E"/>
    <w:p w:rsidR="00561A92" w:rsidRPr="0053176E" w:rsidRDefault="00561A92"/>
    <w:p w:rsidR="00561A92" w:rsidRPr="0053176E" w:rsidRDefault="00561A92"/>
    <w:p w:rsidR="00561A92" w:rsidRPr="0053176E" w:rsidRDefault="00561A92"/>
    <w:p w:rsidR="00561A92" w:rsidRPr="0053176E" w:rsidRDefault="00561A92"/>
    <w:p w:rsidR="00561A92" w:rsidRPr="0053176E" w:rsidRDefault="00561A92"/>
    <w:sectPr w:rsidR="00561A92" w:rsidRPr="00531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551"/>
    <w:multiLevelType w:val="hybridMultilevel"/>
    <w:tmpl w:val="554A60DC"/>
    <w:lvl w:ilvl="0" w:tplc="3FFAD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9"/>
    <w:rsid w:val="00074490"/>
    <w:rsid w:val="000A1573"/>
    <w:rsid w:val="000A1BA0"/>
    <w:rsid w:val="000A1E0B"/>
    <w:rsid w:val="000D59B2"/>
    <w:rsid w:val="001276AD"/>
    <w:rsid w:val="00137273"/>
    <w:rsid w:val="001D6A56"/>
    <w:rsid w:val="001D761A"/>
    <w:rsid w:val="002A0762"/>
    <w:rsid w:val="002A51A6"/>
    <w:rsid w:val="00417836"/>
    <w:rsid w:val="004D6791"/>
    <w:rsid w:val="00517CBE"/>
    <w:rsid w:val="0053176E"/>
    <w:rsid w:val="005520BB"/>
    <w:rsid w:val="00556FD4"/>
    <w:rsid w:val="00561A92"/>
    <w:rsid w:val="00581AD8"/>
    <w:rsid w:val="005F0E21"/>
    <w:rsid w:val="006007C4"/>
    <w:rsid w:val="00654DF9"/>
    <w:rsid w:val="006B55AD"/>
    <w:rsid w:val="006F01B4"/>
    <w:rsid w:val="00712A4B"/>
    <w:rsid w:val="007428F5"/>
    <w:rsid w:val="00750BEF"/>
    <w:rsid w:val="007A32DE"/>
    <w:rsid w:val="007C53C3"/>
    <w:rsid w:val="007E7B76"/>
    <w:rsid w:val="00822607"/>
    <w:rsid w:val="008425F9"/>
    <w:rsid w:val="008574ED"/>
    <w:rsid w:val="008F65F8"/>
    <w:rsid w:val="008F6FFE"/>
    <w:rsid w:val="009505FC"/>
    <w:rsid w:val="00A12FF7"/>
    <w:rsid w:val="00AA78A4"/>
    <w:rsid w:val="00AB11BC"/>
    <w:rsid w:val="00B139A4"/>
    <w:rsid w:val="00C304AE"/>
    <w:rsid w:val="00C67CC5"/>
    <w:rsid w:val="00C71309"/>
    <w:rsid w:val="00C95F23"/>
    <w:rsid w:val="00CB38BD"/>
    <w:rsid w:val="00CD77A1"/>
    <w:rsid w:val="00CE25E4"/>
    <w:rsid w:val="00D06A2B"/>
    <w:rsid w:val="00D41B6E"/>
    <w:rsid w:val="00DA5437"/>
    <w:rsid w:val="00DB5056"/>
    <w:rsid w:val="00DD5A35"/>
    <w:rsid w:val="00E557C9"/>
    <w:rsid w:val="00E87F02"/>
    <w:rsid w:val="00EC7702"/>
    <w:rsid w:val="00F162DB"/>
    <w:rsid w:val="00F737C3"/>
    <w:rsid w:val="00F744C1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1A9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A9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53176E"/>
    <w:rPr>
      <w:noProof/>
    </w:rPr>
  </w:style>
  <w:style w:type="character" w:customStyle="1" w:styleId="EndNoteBibliographyZchn">
    <w:name w:val="EndNote Bibliography Zchn"/>
    <w:link w:val="EndNoteBibliography"/>
    <w:rsid w:val="0053176E"/>
    <w:rPr>
      <w:rFonts w:ascii="Times New Roman" w:eastAsia="Times New Roman" w:hAnsi="Times New Roman" w:cs="Times New Roman"/>
      <w:noProof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1A9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A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A9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53176E"/>
    <w:rPr>
      <w:noProof/>
    </w:rPr>
  </w:style>
  <w:style w:type="character" w:customStyle="1" w:styleId="EndNoteBibliographyZchn">
    <w:name w:val="EndNote Bibliography Zchn"/>
    <w:link w:val="EndNoteBibliography"/>
    <w:rsid w:val="0053176E"/>
    <w:rPr>
      <w:rFonts w:ascii="Times New Roman" w:eastAsia="Times New Roman" w:hAnsi="Times New Roman" w:cs="Times New Roman"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Finger, Jonas</dc:creator>
  <cp:lastModifiedBy>Finger, Jonas</cp:lastModifiedBy>
  <cp:revision>7</cp:revision>
  <dcterms:created xsi:type="dcterms:W3CDTF">2015-02-02T16:34:00Z</dcterms:created>
  <dcterms:modified xsi:type="dcterms:W3CDTF">2015-02-04T19:16:00Z</dcterms:modified>
</cp:coreProperties>
</file>