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653BB" w14:textId="4566EAD5" w:rsidR="002A0130" w:rsidRPr="0029072B" w:rsidRDefault="002A0130" w:rsidP="00B337BD">
      <w:pPr>
        <w:jc w:val="center"/>
        <w:rPr>
          <w:lang w:val="en-US"/>
        </w:rPr>
      </w:pPr>
      <w:bookmarkStart w:id="0" w:name="_GoBack"/>
      <w:bookmarkEnd w:id="0"/>
    </w:p>
    <w:p w14:paraId="0B3CA751" w14:textId="3B0CB69B" w:rsidR="00B337BD" w:rsidRPr="002A0130" w:rsidRDefault="00B337BD" w:rsidP="00B337BD">
      <w:pPr>
        <w:jc w:val="center"/>
        <w:rPr>
          <w:lang w:val="en-US"/>
        </w:rPr>
      </w:pPr>
      <w:r w:rsidRPr="002A0130">
        <w:rPr>
          <w:lang w:val="en-US"/>
        </w:rPr>
        <w:t>SUPP</w:t>
      </w:r>
      <w:r w:rsidR="003960D9">
        <w:rPr>
          <w:lang w:val="en-US"/>
        </w:rPr>
        <w:t>ORTING</w:t>
      </w:r>
      <w:r w:rsidRPr="002A0130">
        <w:rPr>
          <w:lang w:val="en-US"/>
        </w:rPr>
        <w:t xml:space="preserve"> INFORMATION</w:t>
      </w:r>
    </w:p>
    <w:p w14:paraId="30EB7BE9" w14:textId="77777777" w:rsidR="003F4A58" w:rsidRDefault="003F4A58" w:rsidP="00C71F1F">
      <w:pPr>
        <w:rPr>
          <w:lang w:val="en-US"/>
        </w:rPr>
      </w:pPr>
    </w:p>
    <w:p w14:paraId="15FCFEFF" w14:textId="01F21DF0" w:rsidR="003C5AFC" w:rsidRDefault="002A0130" w:rsidP="002A0130">
      <w:pPr>
        <w:jc w:val="center"/>
        <w:rPr>
          <w:lang w:val="en-US"/>
        </w:rPr>
      </w:pPr>
      <w:r w:rsidRPr="00496605">
        <w:rPr>
          <w:lang w:val="en-US"/>
        </w:rPr>
        <w:t xml:space="preserve">Supreme Court Justices’ Economic </w:t>
      </w:r>
      <w:r w:rsidR="009553BF">
        <w:rPr>
          <w:lang w:val="en-US"/>
        </w:rPr>
        <w:t>Behavior</w:t>
      </w:r>
      <w:r w:rsidRPr="00496605">
        <w:rPr>
          <w:lang w:val="en-US"/>
        </w:rPr>
        <w:t>.</w:t>
      </w:r>
      <w:r w:rsidR="00BF7BFE">
        <w:rPr>
          <w:lang w:val="en-US"/>
        </w:rPr>
        <w:t xml:space="preserve"> </w:t>
      </w:r>
      <w:r w:rsidRPr="00496605">
        <w:rPr>
          <w:lang w:val="en-US"/>
        </w:rPr>
        <w:t>A Multi-level Model Analysis</w:t>
      </w:r>
    </w:p>
    <w:p w14:paraId="012B15E1" w14:textId="77777777" w:rsidR="002A0130" w:rsidRPr="002A0130" w:rsidRDefault="002A0130" w:rsidP="002A0130">
      <w:pPr>
        <w:jc w:val="center"/>
        <w:rPr>
          <w:lang w:val="en-US"/>
        </w:rPr>
      </w:pPr>
    </w:p>
    <w:p w14:paraId="25CF2CE4" w14:textId="79DD933F" w:rsidR="003C5AFC" w:rsidRPr="0020721A" w:rsidRDefault="0029072B" w:rsidP="003C5AFC">
      <w:pPr>
        <w:jc w:val="center"/>
        <w:rPr>
          <w:b/>
          <w:lang w:val="en-US"/>
        </w:rPr>
      </w:pPr>
      <w:r>
        <w:rPr>
          <w:lang w:val="en-US"/>
        </w:rPr>
        <w:t>.</w:t>
      </w:r>
    </w:p>
    <w:p w14:paraId="4F191485" w14:textId="77777777" w:rsidR="0014324C" w:rsidRDefault="0014324C" w:rsidP="00C71F1F">
      <w:pPr>
        <w:rPr>
          <w:lang w:val="en-US"/>
        </w:rPr>
      </w:pPr>
    </w:p>
    <w:p w14:paraId="66E55B72" w14:textId="77777777" w:rsidR="00684198" w:rsidRDefault="00684198" w:rsidP="00B337BD">
      <w:pPr>
        <w:pStyle w:val="Overskrift1"/>
      </w:pPr>
      <w:bookmarkStart w:id="1" w:name="_Toc375248489"/>
      <w:r>
        <w:t>Variable description</w:t>
      </w:r>
      <w:bookmarkEnd w:id="1"/>
    </w:p>
    <w:p w14:paraId="07F21496" w14:textId="77777777" w:rsidR="00684198" w:rsidRDefault="00684198" w:rsidP="0014324C">
      <w:pPr>
        <w:pStyle w:val="Overskrift2"/>
      </w:pPr>
      <w:bookmarkStart w:id="2" w:name="_Toc375248490"/>
      <w:r>
        <w:t>The dependent variable</w:t>
      </w:r>
      <w:bookmarkEnd w:id="2"/>
    </w:p>
    <w:p w14:paraId="754190AF" w14:textId="77777777" w:rsidR="00F73407" w:rsidRDefault="00F73407" w:rsidP="00F73407">
      <w:pPr>
        <w:rPr>
          <w:lang w:val="en-US"/>
        </w:rPr>
      </w:pPr>
    </w:p>
    <w:p w14:paraId="6D0C6EBE" w14:textId="665BDD54" w:rsidR="00684198" w:rsidRPr="00684198" w:rsidRDefault="00503B74" w:rsidP="00F73407">
      <w:pPr>
        <w:rPr>
          <w:lang w:val="en-US"/>
        </w:rPr>
      </w:pPr>
      <w:r>
        <w:rPr>
          <w:lang w:val="en-US"/>
        </w:rPr>
        <w:t xml:space="preserve">The justice’s vote </w:t>
      </w:r>
      <w:r w:rsidR="00684198" w:rsidRPr="00684198">
        <w:rPr>
          <w:lang w:val="en-US"/>
        </w:rPr>
        <w:t xml:space="preserve">is </w:t>
      </w:r>
      <w:r w:rsidR="00F05911">
        <w:rPr>
          <w:lang w:val="en-US"/>
        </w:rPr>
        <w:t>a</w:t>
      </w:r>
      <w:r w:rsidR="00F05911" w:rsidRPr="00684198">
        <w:rPr>
          <w:lang w:val="en-US"/>
        </w:rPr>
        <w:t xml:space="preserve"> </w:t>
      </w:r>
      <w:r w:rsidR="00684198" w:rsidRPr="00684198">
        <w:rPr>
          <w:lang w:val="en-US"/>
        </w:rPr>
        <w:t xml:space="preserve">dichotomous variable measuring whether the justice voted in favor of the public </w:t>
      </w:r>
      <w:r w:rsidR="00F32D67">
        <w:rPr>
          <w:lang w:val="en-US"/>
        </w:rPr>
        <w:t xml:space="preserve">(=1) </w:t>
      </w:r>
      <w:r w:rsidR="00684198" w:rsidRPr="00684198">
        <w:rPr>
          <w:lang w:val="en-US"/>
        </w:rPr>
        <w:t xml:space="preserve">or the private party </w:t>
      </w:r>
      <w:r w:rsidR="00F32D67">
        <w:rPr>
          <w:lang w:val="en-US"/>
        </w:rPr>
        <w:t xml:space="preserve">(=0) </w:t>
      </w:r>
      <w:r w:rsidR="00684198" w:rsidRPr="00684198">
        <w:rPr>
          <w:lang w:val="en-US"/>
        </w:rPr>
        <w:t>in the case. A public party includes the state, a county, a municipal</w:t>
      </w:r>
      <w:r w:rsidR="00684198" w:rsidRPr="00267D7F">
        <w:rPr>
          <w:lang w:val="en-US"/>
        </w:rPr>
        <w:t>i</w:t>
      </w:r>
      <w:r w:rsidR="00684198" w:rsidRPr="00684198">
        <w:rPr>
          <w:lang w:val="en-US"/>
        </w:rPr>
        <w:t>ty or publicly owned business. A private part includes a private company of any size, an individual o</w:t>
      </w:r>
      <w:r w:rsidR="00F05911">
        <w:rPr>
          <w:lang w:val="en-US"/>
        </w:rPr>
        <w:t>r</w:t>
      </w:r>
      <w:r w:rsidR="00684198" w:rsidRPr="00684198">
        <w:rPr>
          <w:lang w:val="en-US"/>
        </w:rPr>
        <w:t xml:space="preserve"> group of individuals. </w:t>
      </w:r>
    </w:p>
    <w:p w14:paraId="11016E54" w14:textId="77777777" w:rsidR="00684198" w:rsidRPr="00684198" w:rsidRDefault="00684198" w:rsidP="00684198">
      <w:pPr>
        <w:rPr>
          <w:rFonts w:cstheme="minorBidi"/>
          <w:szCs w:val="22"/>
          <w:lang w:val="en-US"/>
        </w:rPr>
      </w:pPr>
    </w:p>
    <w:p w14:paraId="7EF2575E" w14:textId="6B6F6CC7" w:rsidR="00684198" w:rsidRPr="00684198" w:rsidRDefault="00684198" w:rsidP="0014324C">
      <w:pPr>
        <w:pStyle w:val="Overskrift2"/>
        <w:rPr>
          <w:lang w:val="en-US"/>
        </w:rPr>
      </w:pPr>
      <w:bookmarkStart w:id="3" w:name="_Toc375248491"/>
      <w:r w:rsidRPr="00684198">
        <w:rPr>
          <w:lang w:val="en-US"/>
        </w:rPr>
        <w:t xml:space="preserve">Individual (justice) level variables (variables </w:t>
      </w:r>
      <w:r w:rsidR="00F05911">
        <w:rPr>
          <w:lang w:val="en-US"/>
        </w:rPr>
        <w:t xml:space="preserve">that </w:t>
      </w:r>
      <w:r w:rsidRPr="00684198">
        <w:rPr>
          <w:lang w:val="en-US"/>
        </w:rPr>
        <w:t>can vary within cases) (</w:t>
      </w:r>
      <w:r w:rsidR="00F05911">
        <w:rPr>
          <w:lang w:val="en-US"/>
        </w:rPr>
        <w:t>13 variables</w:t>
      </w:r>
      <w:r w:rsidRPr="00684198">
        <w:rPr>
          <w:lang w:val="en-US"/>
        </w:rPr>
        <w:t>)</w:t>
      </w:r>
      <w:bookmarkEnd w:id="3"/>
    </w:p>
    <w:p w14:paraId="6F586F79" w14:textId="77777777" w:rsidR="00F73407" w:rsidRDefault="00F73407" w:rsidP="00F73407">
      <w:pPr>
        <w:rPr>
          <w:lang w:val="en-US"/>
        </w:rPr>
      </w:pPr>
    </w:p>
    <w:p w14:paraId="320E9C99" w14:textId="1A5F3428" w:rsidR="00684198" w:rsidRPr="00684198" w:rsidRDefault="00684198" w:rsidP="00F73407">
      <w:pPr>
        <w:rPr>
          <w:lang w:val="en-US"/>
        </w:rPr>
      </w:pPr>
      <w:r w:rsidRPr="00684198">
        <w:rPr>
          <w:lang w:val="en-US"/>
        </w:rPr>
        <w:t>Woman is a dichotomous variable</w:t>
      </w:r>
      <w:r w:rsidR="00F05911">
        <w:rPr>
          <w:lang w:val="en-US"/>
        </w:rPr>
        <w:t>,</w:t>
      </w:r>
      <w:r w:rsidR="00F32D67">
        <w:rPr>
          <w:lang w:val="en-US"/>
        </w:rPr>
        <w:t xml:space="preserve"> </w:t>
      </w:r>
      <w:r w:rsidR="00F05911">
        <w:rPr>
          <w:lang w:val="en-US"/>
        </w:rPr>
        <w:t>where</w:t>
      </w:r>
      <w:r w:rsidRPr="00684198">
        <w:rPr>
          <w:lang w:val="en-US"/>
        </w:rPr>
        <w:t xml:space="preserve"> 1</w:t>
      </w:r>
      <w:r w:rsidR="00F05911">
        <w:rPr>
          <w:lang w:val="en-US"/>
        </w:rPr>
        <w:t xml:space="preserve"> = female and 0 = male. </w:t>
      </w:r>
    </w:p>
    <w:p w14:paraId="2EB9765C" w14:textId="77777777" w:rsidR="00F73407" w:rsidRDefault="00F73407" w:rsidP="00F73407">
      <w:pPr>
        <w:rPr>
          <w:lang w:val="en-US"/>
        </w:rPr>
      </w:pPr>
    </w:p>
    <w:p w14:paraId="759A5F56" w14:textId="3CD4D7AE" w:rsidR="00684198" w:rsidRPr="00684198" w:rsidRDefault="00684198" w:rsidP="00F73407">
      <w:pPr>
        <w:rPr>
          <w:lang w:val="en-US"/>
        </w:rPr>
      </w:pPr>
      <w:r w:rsidRPr="00684198">
        <w:rPr>
          <w:lang w:val="en-US"/>
        </w:rPr>
        <w:t xml:space="preserve">Osloborn is a dichotomous variable measuring whether the justice </w:t>
      </w:r>
      <w:r w:rsidR="00F05911">
        <w:rPr>
          <w:lang w:val="en-US"/>
        </w:rPr>
        <w:t>was</w:t>
      </w:r>
      <w:r w:rsidR="00F05911" w:rsidRPr="00684198">
        <w:rPr>
          <w:lang w:val="en-US"/>
        </w:rPr>
        <w:t xml:space="preserve"> </w:t>
      </w:r>
      <w:r w:rsidRPr="00684198">
        <w:rPr>
          <w:lang w:val="en-US"/>
        </w:rPr>
        <w:t xml:space="preserve">born in </w:t>
      </w:r>
      <w:r w:rsidR="00F32D67">
        <w:rPr>
          <w:lang w:val="en-US"/>
        </w:rPr>
        <w:t xml:space="preserve">the city of </w:t>
      </w:r>
      <w:r w:rsidRPr="00684198">
        <w:rPr>
          <w:lang w:val="en-US"/>
        </w:rPr>
        <w:t xml:space="preserve">Oslo </w:t>
      </w:r>
      <w:r w:rsidR="00F32D67">
        <w:rPr>
          <w:lang w:val="en-US"/>
        </w:rPr>
        <w:t xml:space="preserve">(=1) </w:t>
      </w:r>
      <w:r w:rsidRPr="00684198">
        <w:rPr>
          <w:lang w:val="en-US"/>
        </w:rPr>
        <w:t>or not</w:t>
      </w:r>
      <w:r w:rsidR="00F32D67">
        <w:rPr>
          <w:lang w:val="en-US"/>
        </w:rPr>
        <w:t xml:space="preserve"> (=0)</w:t>
      </w:r>
      <w:r w:rsidRPr="00684198">
        <w:rPr>
          <w:lang w:val="en-US"/>
        </w:rPr>
        <w:t xml:space="preserve">. </w:t>
      </w:r>
      <w:r w:rsidR="00744DCD">
        <w:rPr>
          <w:lang w:val="en-US"/>
        </w:rPr>
        <w:t xml:space="preserve">(The city </w:t>
      </w:r>
      <w:r w:rsidR="00F32D67">
        <w:rPr>
          <w:lang w:val="en-US"/>
        </w:rPr>
        <w:t>changed its name from Kristiania in 1925.)</w:t>
      </w:r>
    </w:p>
    <w:p w14:paraId="1BFE7593" w14:textId="77777777" w:rsidR="00F73407" w:rsidRDefault="00F73407" w:rsidP="00F73407">
      <w:pPr>
        <w:rPr>
          <w:lang w:val="en-US"/>
        </w:rPr>
      </w:pPr>
    </w:p>
    <w:p w14:paraId="3E486A91" w14:textId="01873AFB" w:rsidR="00684198" w:rsidRPr="00684198" w:rsidRDefault="00684198" w:rsidP="00F73407">
      <w:pPr>
        <w:rPr>
          <w:lang w:val="en-US"/>
        </w:rPr>
      </w:pPr>
      <w:r w:rsidRPr="00684198">
        <w:rPr>
          <w:lang w:val="en-US"/>
        </w:rPr>
        <w:t xml:space="preserve">Ageatvote is a </w:t>
      </w:r>
      <w:r w:rsidR="00F32D67">
        <w:rPr>
          <w:lang w:val="en-US"/>
        </w:rPr>
        <w:t>metric</w:t>
      </w:r>
      <w:r w:rsidRPr="00684198">
        <w:rPr>
          <w:lang w:val="en-US"/>
        </w:rPr>
        <w:t xml:space="preserve"> variable measuring the age of the justice at the ye</w:t>
      </w:r>
      <w:r w:rsidR="00F32D67">
        <w:rPr>
          <w:lang w:val="en-US"/>
        </w:rPr>
        <w:t>ar the respective vote is given</w:t>
      </w:r>
      <w:r w:rsidRPr="00684198">
        <w:rPr>
          <w:lang w:val="en-US"/>
        </w:rPr>
        <w:t xml:space="preserve">.  </w:t>
      </w:r>
    </w:p>
    <w:p w14:paraId="0BF14D31" w14:textId="77777777" w:rsidR="00F73407" w:rsidRDefault="00F73407" w:rsidP="00F73407">
      <w:pPr>
        <w:rPr>
          <w:lang w:val="en-US"/>
        </w:rPr>
      </w:pPr>
    </w:p>
    <w:p w14:paraId="7B2D0E1F" w14:textId="29D852B2" w:rsidR="00684198" w:rsidRPr="00684198" w:rsidRDefault="00684198" w:rsidP="00F73407">
      <w:pPr>
        <w:rPr>
          <w:lang w:val="en-US"/>
        </w:rPr>
      </w:pPr>
      <w:r w:rsidRPr="00684198">
        <w:rPr>
          <w:lang w:val="en-US"/>
        </w:rPr>
        <w:t xml:space="preserve">SocDemGov is a dichotomous variable measuring whether the justice </w:t>
      </w:r>
      <w:r w:rsidR="00F05911">
        <w:rPr>
          <w:lang w:val="en-US"/>
        </w:rPr>
        <w:t xml:space="preserve">was </w:t>
      </w:r>
      <w:r w:rsidRPr="00684198">
        <w:rPr>
          <w:lang w:val="en-US"/>
        </w:rPr>
        <w:t>appointed by a social democratic</w:t>
      </w:r>
      <w:r w:rsidR="00F32D67">
        <w:rPr>
          <w:lang w:val="en-US"/>
        </w:rPr>
        <w:t xml:space="preserve"> or a social democratic dominant coalition</w:t>
      </w:r>
      <w:r w:rsidRPr="00684198">
        <w:rPr>
          <w:lang w:val="en-US"/>
        </w:rPr>
        <w:t xml:space="preserve"> government </w:t>
      </w:r>
      <w:r w:rsidR="00F32D67">
        <w:rPr>
          <w:lang w:val="en-US"/>
        </w:rPr>
        <w:t>(=1)</w:t>
      </w:r>
      <w:r w:rsidR="00F05911">
        <w:rPr>
          <w:lang w:val="en-US"/>
        </w:rPr>
        <w:t xml:space="preserve"> </w:t>
      </w:r>
      <w:r w:rsidRPr="00684198">
        <w:rPr>
          <w:lang w:val="en-US"/>
        </w:rPr>
        <w:t>or a non-social democratic</w:t>
      </w:r>
      <w:r w:rsidR="00744DCD">
        <w:rPr>
          <w:lang w:val="en-US"/>
        </w:rPr>
        <w:t xml:space="preserve"> or non-socialist</w:t>
      </w:r>
      <w:r w:rsidR="00F32D67">
        <w:rPr>
          <w:lang w:val="en-US"/>
        </w:rPr>
        <w:t xml:space="preserve"> </w:t>
      </w:r>
      <w:r w:rsidRPr="00684198">
        <w:rPr>
          <w:lang w:val="en-US"/>
        </w:rPr>
        <w:t>government</w:t>
      </w:r>
      <w:r w:rsidR="00F32D67">
        <w:rPr>
          <w:lang w:val="en-US"/>
        </w:rPr>
        <w:t xml:space="preserve"> (=0)</w:t>
      </w:r>
      <w:r w:rsidRPr="00684198">
        <w:rPr>
          <w:lang w:val="en-US"/>
        </w:rPr>
        <w:t xml:space="preserve">. </w:t>
      </w:r>
    </w:p>
    <w:p w14:paraId="432AFA89" w14:textId="77777777" w:rsidR="00F73407" w:rsidRDefault="00F73407" w:rsidP="00F73407">
      <w:pPr>
        <w:rPr>
          <w:lang w:val="en-US"/>
        </w:rPr>
      </w:pPr>
    </w:p>
    <w:p w14:paraId="0A83A61D" w14:textId="4BFB9171" w:rsidR="00684198" w:rsidRPr="00684198" w:rsidRDefault="00684198" w:rsidP="00F73407">
      <w:pPr>
        <w:rPr>
          <w:lang w:val="en-US"/>
        </w:rPr>
      </w:pPr>
      <w:r w:rsidRPr="00684198">
        <w:rPr>
          <w:lang w:val="en-US"/>
        </w:rPr>
        <w:t xml:space="preserve">The following six dichotomous variables measure the justices’ different types of former employment: </w:t>
      </w:r>
      <w:r w:rsidR="005D13C8">
        <w:rPr>
          <w:lang w:val="en-US"/>
        </w:rPr>
        <w:t xml:space="preserve">in </w:t>
      </w:r>
      <w:r w:rsidRPr="00684198">
        <w:rPr>
          <w:lang w:val="en-US"/>
        </w:rPr>
        <w:t xml:space="preserve">private practice as lawyer; </w:t>
      </w:r>
      <w:r w:rsidR="005D13C8">
        <w:rPr>
          <w:lang w:val="en-US"/>
        </w:rPr>
        <w:t xml:space="preserve">as </w:t>
      </w:r>
      <w:r w:rsidRPr="00684198">
        <w:rPr>
          <w:lang w:val="en-US"/>
        </w:rPr>
        <w:t xml:space="preserve">law professer; lower court judge; at the office of </w:t>
      </w:r>
      <w:r w:rsidRPr="00684198">
        <w:rPr>
          <w:lang w:val="en-US"/>
        </w:rPr>
        <w:lastRenderedPageBreak/>
        <w:t>the government advocate</w:t>
      </w:r>
      <w:r w:rsidR="005D13C8">
        <w:rPr>
          <w:lang w:val="en-US"/>
        </w:rPr>
        <w:t xml:space="preserve"> (</w:t>
      </w:r>
      <w:r w:rsidR="005D13C8" w:rsidRPr="005D13C8">
        <w:rPr>
          <w:i/>
          <w:lang w:val="en-US"/>
        </w:rPr>
        <w:t>Regjeringsadvokaten</w:t>
      </w:r>
      <w:r w:rsidR="005D13C8">
        <w:rPr>
          <w:lang w:val="en-US"/>
        </w:rPr>
        <w:t>)</w:t>
      </w:r>
      <w:r w:rsidRPr="00684198">
        <w:rPr>
          <w:lang w:val="en-US"/>
        </w:rPr>
        <w:t xml:space="preserve">; at the Legislation Department </w:t>
      </w:r>
      <w:r w:rsidR="005D13C8">
        <w:rPr>
          <w:lang w:val="en-US"/>
        </w:rPr>
        <w:t>(</w:t>
      </w:r>
      <w:r w:rsidR="005D13C8" w:rsidRPr="005D13C8">
        <w:rPr>
          <w:i/>
          <w:lang w:val="en-US"/>
        </w:rPr>
        <w:t>Lovavdelingen</w:t>
      </w:r>
      <w:r w:rsidR="005D13C8">
        <w:rPr>
          <w:lang w:val="en-US"/>
        </w:rPr>
        <w:t xml:space="preserve">) </w:t>
      </w:r>
      <w:r w:rsidRPr="00684198">
        <w:rPr>
          <w:lang w:val="en-US"/>
        </w:rPr>
        <w:t>of the Ministry of Justice; at the office of the Prosecutor general (</w:t>
      </w:r>
      <w:r w:rsidR="005D13C8" w:rsidRPr="005D13C8">
        <w:rPr>
          <w:i/>
          <w:lang w:val="en-US"/>
        </w:rPr>
        <w:t>R</w:t>
      </w:r>
      <w:r w:rsidRPr="005D13C8">
        <w:rPr>
          <w:i/>
          <w:lang w:val="en-US"/>
        </w:rPr>
        <w:t>iksadvokatembet</w:t>
      </w:r>
      <w:r w:rsidRPr="00684198">
        <w:rPr>
          <w:lang w:val="en-US"/>
        </w:rPr>
        <w:t xml:space="preserve">). </w:t>
      </w:r>
      <w:r w:rsidR="005D13C8">
        <w:rPr>
          <w:lang w:val="en-US"/>
        </w:rPr>
        <w:t>A</w:t>
      </w:r>
      <w:r w:rsidRPr="00684198">
        <w:rPr>
          <w:lang w:val="en-US"/>
        </w:rPr>
        <w:t xml:space="preserve"> justice has been given a value of 1 if he or she has had any of these work experience and </w:t>
      </w:r>
      <w:r w:rsidR="00F05911">
        <w:rPr>
          <w:lang w:val="en-US"/>
        </w:rPr>
        <w:t>0</w:t>
      </w:r>
      <w:r w:rsidR="00F05911" w:rsidRPr="00684198">
        <w:rPr>
          <w:lang w:val="en-US"/>
        </w:rPr>
        <w:t xml:space="preserve"> </w:t>
      </w:r>
      <w:r w:rsidRPr="00684198">
        <w:rPr>
          <w:lang w:val="en-US"/>
        </w:rPr>
        <w:t xml:space="preserve">otherwise. The different types of </w:t>
      </w:r>
      <w:r w:rsidR="00DD4FA1">
        <w:rPr>
          <w:lang w:val="en-US"/>
        </w:rPr>
        <w:t xml:space="preserve">former employment are </w:t>
      </w:r>
      <w:r w:rsidRPr="00684198">
        <w:rPr>
          <w:lang w:val="en-US"/>
        </w:rPr>
        <w:t xml:space="preserve">not mutually exclusive. </w:t>
      </w:r>
    </w:p>
    <w:p w14:paraId="62DA3A46" w14:textId="77777777" w:rsidR="00F73407" w:rsidRDefault="00F73407" w:rsidP="00F73407">
      <w:pPr>
        <w:rPr>
          <w:lang w:val="en-US"/>
        </w:rPr>
      </w:pPr>
    </w:p>
    <w:p w14:paraId="77885AE8" w14:textId="422F2BDF" w:rsidR="00684198" w:rsidRPr="00684198" w:rsidRDefault="00684198" w:rsidP="00F73407">
      <w:pPr>
        <w:rPr>
          <w:lang w:val="en-US"/>
        </w:rPr>
      </w:pPr>
      <w:r w:rsidRPr="00684198">
        <w:rPr>
          <w:lang w:val="en-US"/>
        </w:rPr>
        <w:t xml:space="preserve">Chief is a dichotomous variable measuring whether the justice is </w:t>
      </w:r>
      <w:r w:rsidR="00F05911">
        <w:rPr>
          <w:lang w:val="en-US"/>
        </w:rPr>
        <w:t xml:space="preserve">the </w:t>
      </w:r>
      <w:r w:rsidRPr="00684198">
        <w:rPr>
          <w:lang w:val="en-US"/>
        </w:rPr>
        <w:t>chief</w:t>
      </w:r>
      <w:r w:rsidR="00F05911">
        <w:rPr>
          <w:lang w:val="en-US"/>
        </w:rPr>
        <w:t xml:space="preserve"> justice</w:t>
      </w:r>
      <w:r w:rsidRPr="00684198">
        <w:rPr>
          <w:lang w:val="en-US"/>
        </w:rPr>
        <w:t xml:space="preserve"> </w:t>
      </w:r>
      <w:r w:rsidR="00DD4FA1">
        <w:rPr>
          <w:lang w:val="en-US"/>
        </w:rPr>
        <w:t xml:space="preserve">(=1) </w:t>
      </w:r>
      <w:r w:rsidRPr="00684198">
        <w:rPr>
          <w:lang w:val="en-US"/>
        </w:rPr>
        <w:t>or not</w:t>
      </w:r>
      <w:r w:rsidR="00DD4FA1">
        <w:rPr>
          <w:lang w:val="en-US"/>
        </w:rPr>
        <w:t xml:space="preserve"> (=0)</w:t>
      </w:r>
      <w:r w:rsidRPr="00684198">
        <w:rPr>
          <w:lang w:val="en-US"/>
        </w:rPr>
        <w:t xml:space="preserve">. </w:t>
      </w:r>
    </w:p>
    <w:p w14:paraId="68FA8DD5" w14:textId="77777777" w:rsidR="00F73407" w:rsidRDefault="00F73407" w:rsidP="00F73407">
      <w:pPr>
        <w:rPr>
          <w:lang w:val="en-US"/>
        </w:rPr>
      </w:pPr>
    </w:p>
    <w:p w14:paraId="45147536" w14:textId="26B2E0DB" w:rsidR="00684198" w:rsidRPr="00684198" w:rsidRDefault="00684198" w:rsidP="00F73407">
      <w:pPr>
        <w:rPr>
          <w:lang w:val="en-US"/>
        </w:rPr>
      </w:pPr>
      <w:r w:rsidRPr="00684198">
        <w:rPr>
          <w:lang w:val="en-US"/>
        </w:rPr>
        <w:t xml:space="preserve">Interimjustice is a dichotomous variable measuring whether the justice is a interim justice </w:t>
      </w:r>
      <w:r w:rsidR="00DD4FA1">
        <w:rPr>
          <w:lang w:val="en-US"/>
        </w:rPr>
        <w:t xml:space="preserve">(=1) </w:t>
      </w:r>
      <w:r w:rsidRPr="00684198">
        <w:rPr>
          <w:lang w:val="en-US"/>
        </w:rPr>
        <w:t>or not</w:t>
      </w:r>
      <w:r w:rsidR="00DD4FA1">
        <w:rPr>
          <w:lang w:val="en-US"/>
        </w:rPr>
        <w:t xml:space="preserve"> (=0)</w:t>
      </w:r>
      <w:r w:rsidRPr="00684198">
        <w:rPr>
          <w:lang w:val="en-US"/>
        </w:rPr>
        <w:t xml:space="preserve">. </w:t>
      </w:r>
    </w:p>
    <w:p w14:paraId="6F200EA0" w14:textId="77777777" w:rsidR="00F73407" w:rsidRDefault="00F73407" w:rsidP="00F73407">
      <w:pPr>
        <w:rPr>
          <w:lang w:val="en-US"/>
        </w:rPr>
      </w:pPr>
    </w:p>
    <w:p w14:paraId="3CE16711" w14:textId="3768F90B" w:rsidR="00684198" w:rsidRPr="00684198" w:rsidRDefault="00684198" w:rsidP="00F73407">
      <w:pPr>
        <w:rPr>
          <w:lang w:val="en-US"/>
        </w:rPr>
      </w:pPr>
      <w:r w:rsidRPr="00684198">
        <w:rPr>
          <w:lang w:val="en-US"/>
        </w:rPr>
        <w:t xml:space="preserve">Seniority is a </w:t>
      </w:r>
      <w:r w:rsidR="00DD4FA1">
        <w:rPr>
          <w:lang w:val="en-US"/>
        </w:rPr>
        <w:t>metric</w:t>
      </w:r>
      <w:r w:rsidRPr="00684198">
        <w:rPr>
          <w:lang w:val="en-US"/>
        </w:rPr>
        <w:t xml:space="preserve"> variable measuring the number of years of </w:t>
      </w:r>
      <w:r w:rsidR="00DD4FA1">
        <w:rPr>
          <w:lang w:val="en-US"/>
        </w:rPr>
        <w:t xml:space="preserve">tenure </w:t>
      </w:r>
      <w:r w:rsidRPr="00684198">
        <w:rPr>
          <w:lang w:val="en-US"/>
        </w:rPr>
        <w:t xml:space="preserve">as a justice at the year the respective vote is given. </w:t>
      </w:r>
    </w:p>
    <w:p w14:paraId="3BDDFFB2" w14:textId="77777777" w:rsidR="00F73407" w:rsidRDefault="00F73407" w:rsidP="00F73407">
      <w:pPr>
        <w:rPr>
          <w:lang w:val="en-US"/>
        </w:rPr>
      </w:pPr>
    </w:p>
    <w:p w14:paraId="051F4112" w14:textId="57F7E8C1" w:rsidR="00684198" w:rsidRPr="00684198" w:rsidRDefault="00684198" w:rsidP="0014324C">
      <w:pPr>
        <w:pStyle w:val="Overskrift2"/>
        <w:rPr>
          <w:rFonts w:cstheme="majorBidi"/>
          <w:bCs/>
          <w:szCs w:val="26"/>
          <w:lang w:val="en-US"/>
        </w:rPr>
      </w:pPr>
      <w:bookmarkStart w:id="4" w:name="_Toc375248492"/>
      <w:r w:rsidRPr="00684198">
        <w:rPr>
          <w:lang w:val="en-US"/>
        </w:rPr>
        <w:t xml:space="preserve">Panel and case level variables (variables </w:t>
      </w:r>
      <w:r w:rsidR="00F05911">
        <w:rPr>
          <w:lang w:val="en-US"/>
        </w:rPr>
        <w:t xml:space="preserve">that </w:t>
      </w:r>
      <w:r w:rsidRPr="00684198">
        <w:rPr>
          <w:lang w:val="en-US"/>
        </w:rPr>
        <w:t>vary between cases only) (</w:t>
      </w:r>
      <w:r w:rsidR="00F05911">
        <w:rPr>
          <w:lang w:val="en-US"/>
        </w:rPr>
        <w:t>15 variables)</w:t>
      </w:r>
      <w:bookmarkEnd w:id="4"/>
    </w:p>
    <w:p w14:paraId="4EA714F9" w14:textId="77777777" w:rsidR="00F73407" w:rsidRDefault="00F73407" w:rsidP="00F73407">
      <w:pPr>
        <w:rPr>
          <w:lang w:val="en-US"/>
        </w:rPr>
      </w:pPr>
    </w:p>
    <w:p w14:paraId="1B0FF322" w14:textId="77777777" w:rsidR="00684198" w:rsidRPr="002519DE" w:rsidRDefault="00684198" w:rsidP="00F73407">
      <w:pPr>
        <w:rPr>
          <w:lang w:val="en-US"/>
        </w:rPr>
      </w:pPr>
      <w:r w:rsidRPr="00684198">
        <w:rPr>
          <w:lang w:val="en-US"/>
        </w:rPr>
        <w:t xml:space="preserve">Panel variables refer to characteristics of the group of justice’s deciding each case. </w:t>
      </w:r>
      <w:r w:rsidRPr="002519DE">
        <w:rPr>
          <w:lang w:val="en-US"/>
        </w:rPr>
        <w:t xml:space="preserve">Case variables refer to characteristics of the cases decided. </w:t>
      </w:r>
    </w:p>
    <w:p w14:paraId="4DEF1D8B" w14:textId="77777777" w:rsidR="00684198" w:rsidRPr="002519DE" w:rsidRDefault="00684198" w:rsidP="00684198">
      <w:pPr>
        <w:rPr>
          <w:lang w:val="en-US"/>
        </w:rPr>
      </w:pPr>
    </w:p>
    <w:p w14:paraId="694D2E31" w14:textId="1C18CE67" w:rsidR="00684198" w:rsidRDefault="00684198" w:rsidP="00684198">
      <w:pPr>
        <w:pStyle w:val="Overskrift3"/>
        <w:rPr>
          <w:rFonts w:cstheme="majorBidi"/>
          <w:szCs w:val="26"/>
        </w:rPr>
      </w:pPr>
      <w:bookmarkStart w:id="5" w:name="_Toc375248493"/>
      <w:r>
        <w:t>Panel variables (</w:t>
      </w:r>
      <w:r w:rsidR="00F05911">
        <w:t>8 variables</w:t>
      </w:r>
      <w:r>
        <w:t>)</w:t>
      </w:r>
      <w:bookmarkEnd w:id="5"/>
    </w:p>
    <w:p w14:paraId="7ADC6EF8" w14:textId="77777777" w:rsidR="00F73407" w:rsidRDefault="00F73407" w:rsidP="00F73407">
      <w:pPr>
        <w:rPr>
          <w:lang w:val="en-US"/>
        </w:rPr>
      </w:pPr>
    </w:p>
    <w:p w14:paraId="50F1FFB1" w14:textId="77777777" w:rsidR="00684198" w:rsidRPr="00684198" w:rsidRDefault="00684198" w:rsidP="00F73407">
      <w:pPr>
        <w:rPr>
          <w:lang w:val="en-US"/>
        </w:rPr>
      </w:pPr>
      <w:r w:rsidRPr="00684198">
        <w:rPr>
          <w:lang w:val="en-US"/>
        </w:rPr>
        <w:t>FemaleMajority</w:t>
      </w:r>
      <w:r w:rsidR="00513724">
        <w:rPr>
          <w:lang w:val="en-US"/>
        </w:rPr>
        <w:t xml:space="preserve"> </w:t>
      </w:r>
      <w:r w:rsidRPr="00684198">
        <w:rPr>
          <w:lang w:val="en-US"/>
        </w:rPr>
        <w:t xml:space="preserve">is a dichotomous variable measuring whether the panel consists of a majority of female justices </w:t>
      </w:r>
      <w:r w:rsidR="00437BE4">
        <w:rPr>
          <w:lang w:val="en-US"/>
        </w:rPr>
        <w:t xml:space="preserve">(=1) </w:t>
      </w:r>
      <w:r w:rsidRPr="00684198">
        <w:rPr>
          <w:lang w:val="en-US"/>
        </w:rPr>
        <w:t>or not</w:t>
      </w:r>
      <w:r w:rsidR="00437BE4">
        <w:rPr>
          <w:lang w:val="en-US"/>
        </w:rPr>
        <w:t xml:space="preserve"> (=0)</w:t>
      </w:r>
      <w:r w:rsidRPr="00684198">
        <w:rPr>
          <w:lang w:val="en-US"/>
        </w:rPr>
        <w:t xml:space="preserve">. </w:t>
      </w:r>
    </w:p>
    <w:p w14:paraId="759A0A1D" w14:textId="77777777" w:rsidR="00F73407" w:rsidRDefault="00F73407" w:rsidP="00F73407">
      <w:pPr>
        <w:rPr>
          <w:lang w:val="en-US"/>
        </w:rPr>
      </w:pPr>
    </w:p>
    <w:p w14:paraId="6EEB06BC" w14:textId="77777777" w:rsidR="00684198" w:rsidRPr="00684198" w:rsidRDefault="00684198" w:rsidP="00F73407">
      <w:pPr>
        <w:rPr>
          <w:lang w:val="en-US"/>
        </w:rPr>
      </w:pPr>
      <w:r w:rsidRPr="00684198">
        <w:rPr>
          <w:lang w:val="en-US"/>
        </w:rPr>
        <w:t>OsloMajority</w:t>
      </w:r>
      <w:r w:rsidR="00513724">
        <w:rPr>
          <w:lang w:val="en-US"/>
        </w:rPr>
        <w:t xml:space="preserve"> </w:t>
      </w:r>
      <w:r w:rsidRPr="00684198">
        <w:rPr>
          <w:lang w:val="en-US"/>
        </w:rPr>
        <w:t xml:space="preserve">is a dichotomous variable measuring whether a majority </w:t>
      </w:r>
      <w:r w:rsidR="00437BE4">
        <w:rPr>
          <w:lang w:val="en-US"/>
        </w:rPr>
        <w:t xml:space="preserve">of justices were born in the city of </w:t>
      </w:r>
      <w:r w:rsidRPr="00684198">
        <w:rPr>
          <w:lang w:val="en-US"/>
        </w:rPr>
        <w:t xml:space="preserve">Oslo </w:t>
      </w:r>
      <w:r w:rsidR="00437BE4">
        <w:rPr>
          <w:lang w:val="en-US"/>
        </w:rPr>
        <w:t xml:space="preserve">(=1) </w:t>
      </w:r>
      <w:r w:rsidRPr="00684198">
        <w:rPr>
          <w:lang w:val="en-US"/>
        </w:rPr>
        <w:t>or not</w:t>
      </w:r>
      <w:r w:rsidR="00437BE4">
        <w:rPr>
          <w:lang w:val="en-US"/>
        </w:rPr>
        <w:t xml:space="preserve"> (=0)</w:t>
      </w:r>
      <w:r w:rsidRPr="00684198">
        <w:rPr>
          <w:lang w:val="en-US"/>
        </w:rPr>
        <w:t xml:space="preserve">. </w:t>
      </w:r>
    </w:p>
    <w:p w14:paraId="3182FBA3" w14:textId="77777777" w:rsidR="00F73407" w:rsidRDefault="00F73407" w:rsidP="00F73407">
      <w:pPr>
        <w:rPr>
          <w:lang w:val="en-US"/>
        </w:rPr>
      </w:pPr>
    </w:p>
    <w:p w14:paraId="496E478B" w14:textId="77777777" w:rsidR="00684198" w:rsidRPr="00684198" w:rsidRDefault="00684198" w:rsidP="00F73407">
      <w:pPr>
        <w:rPr>
          <w:lang w:val="en-US"/>
        </w:rPr>
      </w:pPr>
      <w:r w:rsidRPr="00684198">
        <w:rPr>
          <w:lang w:val="en-US"/>
        </w:rPr>
        <w:t>SocDemMajority</w:t>
      </w:r>
      <w:r w:rsidR="00513724">
        <w:rPr>
          <w:lang w:val="en-US"/>
        </w:rPr>
        <w:t xml:space="preserve"> </w:t>
      </w:r>
      <w:r w:rsidRPr="00684198">
        <w:rPr>
          <w:lang w:val="en-US"/>
        </w:rPr>
        <w:t xml:space="preserve">is a dichotomous variable measuring whether there is a majority of social democratic justices </w:t>
      </w:r>
      <w:r w:rsidR="00437BE4">
        <w:rPr>
          <w:lang w:val="en-US"/>
        </w:rPr>
        <w:t xml:space="preserve">(=1) </w:t>
      </w:r>
      <w:r w:rsidRPr="00684198">
        <w:rPr>
          <w:lang w:val="en-US"/>
        </w:rPr>
        <w:t>or not</w:t>
      </w:r>
      <w:r w:rsidR="00437BE4">
        <w:rPr>
          <w:lang w:val="en-US"/>
        </w:rPr>
        <w:t xml:space="preserve"> (=0)</w:t>
      </w:r>
      <w:r w:rsidRPr="00684198">
        <w:rPr>
          <w:lang w:val="en-US"/>
        </w:rPr>
        <w:t xml:space="preserve">. </w:t>
      </w:r>
    </w:p>
    <w:p w14:paraId="08FC74DC" w14:textId="77777777" w:rsidR="00F73407" w:rsidRDefault="00F73407" w:rsidP="00F73407">
      <w:pPr>
        <w:rPr>
          <w:lang w:val="en-US"/>
        </w:rPr>
      </w:pPr>
    </w:p>
    <w:p w14:paraId="26BB730B" w14:textId="7EB3094D" w:rsidR="00684198" w:rsidRPr="00684198" w:rsidRDefault="00684198" w:rsidP="00F73407">
      <w:pPr>
        <w:rPr>
          <w:lang w:val="en-US"/>
        </w:rPr>
      </w:pPr>
      <w:r w:rsidRPr="00684198">
        <w:rPr>
          <w:lang w:val="en-US"/>
        </w:rPr>
        <w:lastRenderedPageBreak/>
        <w:t>Private practice majority: =1 if the majority of justices on the panel has career experience from private law practice</w:t>
      </w:r>
      <w:r w:rsidR="00437BE4">
        <w:rPr>
          <w:lang w:val="en-US"/>
        </w:rPr>
        <w:t>, 0</w:t>
      </w:r>
      <w:r w:rsidR="00F05911">
        <w:rPr>
          <w:lang w:val="en-US"/>
        </w:rPr>
        <w:t xml:space="preserve"> otherwise</w:t>
      </w:r>
      <w:r w:rsidRPr="00684198">
        <w:rPr>
          <w:lang w:val="en-US"/>
        </w:rPr>
        <w:t>.</w:t>
      </w:r>
    </w:p>
    <w:p w14:paraId="581BCAD3" w14:textId="77777777" w:rsidR="00F73407" w:rsidRDefault="00F73407" w:rsidP="00F73407">
      <w:pPr>
        <w:rPr>
          <w:lang w:val="en-US"/>
        </w:rPr>
      </w:pPr>
    </w:p>
    <w:p w14:paraId="003934C8" w14:textId="3578BE8B" w:rsidR="00684198" w:rsidRPr="00684198" w:rsidRDefault="00684198" w:rsidP="00F73407">
      <w:pPr>
        <w:rPr>
          <w:lang w:val="en-US"/>
        </w:rPr>
      </w:pPr>
      <w:r w:rsidRPr="00684198">
        <w:rPr>
          <w:lang w:val="en-US"/>
        </w:rPr>
        <w:t>Law professer majority: =1 if the majority of justices on the panel were former law professors</w:t>
      </w:r>
      <w:r w:rsidR="00437BE4">
        <w:rPr>
          <w:lang w:val="en-US"/>
        </w:rPr>
        <w:t>, 0</w:t>
      </w:r>
      <w:r w:rsidR="00F05911">
        <w:rPr>
          <w:lang w:val="en-US"/>
        </w:rPr>
        <w:t xml:space="preserve"> otherwise</w:t>
      </w:r>
      <w:r w:rsidR="00437BE4">
        <w:rPr>
          <w:lang w:val="en-US"/>
        </w:rPr>
        <w:t>.</w:t>
      </w:r>
    </w:p>
    <w:p w14:paraId="3D40F59E" w14:textId="77777777" w:rsidR="00F73407" w:rsidRDefault="00F73407" w:rsidP="00F73407">
      <w:pPr>
        <w:rPr>
          <w:lang w:val="en-US"/>
        </w:rPr>
      </w:pPr>
    </w:p>
    <w:p w14:paraId="2DAA9095" w14:textId="74329FCD" w:rsidR="00684198" w:rsidRPr="00684198" w:rsidRDefault="00684198" w:rsidP="00F73407">
      <w:pPr>
        <w:rPr>
          <w:lang w:val="en-US"/>
        </w:rPr>
      </w:pPr>
      <w:r w:rsidRPr="00684198">
        <w:rPr>
          <w:lang w:val="en-US"/>
        </w:rPr>
        <w:t>Government advocate majority: =1 if the majority of justices on the panel has career experience from the Office of Government Advocate</w:t>
      </w:r>
      <w:r w:rsidR="00437BE4">
        <w:rPr>
          <w:lang w:val="en-US"/>
        </w:rPr>
        <w:t xml:space="preserve">, </w:t>
      </w:r>
      <w:r w:rsidR="00F05911">
        <w:rPr>
          <w:lang w:val="en-US"/>
        </w:rPr>
        <w:t xml:space="preserve">0 </w:t>
      </w:r>
      <w:r w:rsidR="00437BE4">
        <w:rPr>
          <w:lang w:val="en-US"/>
        </w:rPr>
        <w:t>otherwise</w:t>
      </w:r>
      <w:r w:rsidRPr="00684198">
        <w:rPr>
          <w:lang w:val="en-US"/>
        </w:rPr>
        <w:t>.</w:t>
      </w:r>
    </w:p>
    <w:p w14:paraId="001B76A2" w14:textId="77777777" w:rsidR="00F73407" w:rsidRDefault="00F73407" w:rsidP="00F73407">
      <w:pPr>
        <w:rPr>
          <w:lang w:val="en-US"/>
        </w:rPr>
      </w:pPr>
    </w:p>
    <w:p w14:paraId="03797941" w14:textId="21F86D88" w:rsidR="00684198" w:rsidRPr="00684198" w:rsidRDefault="00684198" w:rsidP="00F73407">
      <w:pPr>
        <w:rPr>
          <w:lang w:val="en-US"/>
        </w:rPr>
      </w:pPr>
      <w:r w:rsidRPr="00684198">
        <w:rPr>
          <w:lang w:val="en-US"/>
        </w:rPr>
        <w:t>LegislationDepMajority</w:t>
      </w:r>
      <w:r w:rsidR="00F05911">
        <w:rPr>
          <w:lang w:val="en-US"/>
        </w:rPr>
        <w:t>: =</w:t>
      </w:r>
      <w:r w:rsidR="00437BE4">
        <w:rPr>
          <w:lang w:val="en-US"/>
        </w:rPr>
        <w:t xml:space="preserve"> </w:t>
      </w:r>
      <w:r w:rsidR="00F05911">
        <w:rPr>
          <w:lang w:val="en-US"/>
        </w:rPr>
        <w:t xml:space="preserve">1 if a majority of the justices on a panel has career experience in the </w:t>
      </w:r>
      <w:r w:rsidR="00437BE4">
        <w:rPr>
          <w:lang w:val="en-US"/>
        </w:rPr>
        <w:t>Legislation</w:t>
      </w:r>
      <w:r w:rsidRPr="00684198">
        <w:rPr>
          <w:lang w:val="en-US"/>
        </w:rPr>
        <w:t xml:space="preserve"> </w:t>
      </w:r>
      <w:r w:rsidR="00F05911">
        <w:rPr>
          <w:lang w:val="en-US"/>
        </w:rPr>
        <w:t>D</w:t>
      </w:r>
      <w:r w:rsidRPr="00684198">
        <w:rPr>
          <w:lang w:val="en-US"/>
        </w:rPr>
        <w:t>epartment</w:t>
      </w:r>
      <w:r w:rsidR="00F05911">
        <w:rPr>
          <w:lang w:val="en-US"/>
        </w:rPr>
        <w:t xml:space="preserve">, 0 otherwise. </w:t>
      </w:r>
      <w:r w:rsidRPr="00684198">
        <w:rPr>
          <w:lang w:val="en-US"/>
        </w:rPr>
        <w:t xml:space="preserve"> </w:t>
      </w:r>
    </w:p>
    <w:p w14:paraId="38A2DC39" w14:textId="77777777" w:rsidR="00F73407" w:rsidRDefault="00F73407" w:rsidP="00F73407">
      <w:pPr>
        <w:rPr>
          <w:lang w:val="en-US"/>
        </w:rPr>
      </w:pPr>
    </w:p>
    <w:p w14:paraId="662D5B4C" w14:textId="77777777" w:rsidR="00684198" w:rsidRPr="00684198" w:rsidRDefault="00684198" w:rsidP="00F73407">
      <w:pPr>
        <w:rPr>
          <w:lang w:val="en-US"/>
        </w:rPr>
      </w:pPr>
      <w:r w:rsidRPr="00684198">
        <w:rPr>
          <w:lang w:val="en-US"/>
        </w:rPr>
        <w:t>Chief</w:t>
      </w:r>
      <w:r w:rsidR="00513724">
        <w:rPr>
          <w:lang w:val="en-US"/>
        </w:rPr>
        <w:t xml:space="preserve"> </w:t>
      </w:r>
      <w:r w:rsidRPr="00684198">
        <w:rPr>
          <w:lang w:val="en-US"/>
        </w:rPr>
        <w:t>in</w:t>
      </w:r>
      <w:r w:rsidR="00513724">
        <w:rPr>
          <w:lang w:val="en-US"/>
        </w:rPr>
        <w:t xml:space="preserve"> </w:t>
      </w:r>
      <w:r w:rsidRPr="00684198">
        <w:rPr>
          <w:lang w:val="en-US"/>
        </w:rPr>
        <w:t xml:space="preserve">panel is a dichotomous variable measuring whether the chief is a </w:t>
      </w:r>
      <w:r w:rsidR="00513724">
        <w:rPr>
          <w:lang w:val="en-US"/>
        </w:rPr>
        <w:t xml:space="preserve">member and hence presiding justices </w:t>
      </w:r>
      <w:r w:rsidRPr="00684198">
        <w:rPr>
          <w:lang w:val="en-US"/>
        </w:rPr>
        <w:t xml:space="preserve">of the panel </w:t>
      </w:r>
      <w:r w:rsidR="00513724">
        <w:rPr>
          <w:lang w:val="en-US"/>
        </w:rPr>
        <w:t xml:space="preserve">(=1) </w:t>
      </w:r>
      <w:r w:rsidRPr="00684198">
        <w:rPr>
          <w:lang w:val="en-US"/>
        </w:rPr>
        <w:t>or not</w:t>
      </w:r>
      <w:r w:rsidR="00513724">
        <w:rPr>
          <w:lang w:val="en-US"/>
        </w:rPr>
        <w:t xml:space="preserve"> (=0)</w:t>
      </w:r>
      <w:r w:rsidRPr="00684198">
        <w:rPr>
          <w:lang w:val="en-US"/>
        </w:rPr>
        <w:t xml:space="preserve">. </w:t>
      </w:r>
    </w:p>
    <w:p w14:paraId="751464A6" w14:textId="77777777" w:rsidR="00684198" w:rsidRPr="00684198" w:rsidRDefault="00684198" w:rsidP="00684198">
      <w:pPr>
        <w:autoSpaceDE w:val="0"/>
        <w:autoSpaceDN w:val="0"/>
        <w:adjustRightInd w:val="0"/>
        <w:ind w:left="709" w:hanging="709"/>
        <w:rPr>
          <w:bCs/>
          <w:lang w:val="en-US"/>
        </w:rPr>
      </w:pPr>
      <w:r w:rsidRPr="00684198">
        <w:rPr>
          <w:bCs/>
          <w:lang w:val="en-US"/>
        </w:rPr>
        <w:t xml:space="preserve"> </w:t>
      </w:r>
    </w:p>
    <w:p w14:paraId="2A661FAE" w14:textId="3B648818" w:rsidR="00684198" w:rsidRDefault="00684198" w:rsidP="00684198">
      <w:pPr>
        <w:pStyle w:val="Overskrift3"/>
        <w:rPr>
          <w:rFonts w:cstheme="majorBidi"/>
          <w:bCs/>
          <w:szCs w:val="26"/>
        </w:rPr>
      </w:pPr>
      <w:bookmarkStart w:id="6" w:name="_Toc375248494"/>
      <w:r>
        <w:t>Case variables (7</w:t>
      </w:r>
      <w:r w:rsidR="002A0130">
        <w:t xml:space="preserve"> </w:t>
      </w:r>
      <w:r w:rsidR="00F05911">
        <w:t>variables</w:t>
      </w:r>
      <w:r>
        <w:t>)</w:t>
      </w:r>
      <w:bookmarkEnd w:id="6"/>
    </w:p>
    <w:p w14:paraId="2ADA14ED" w14:textId="77777777" w:rsidR="00684198" w:rsidRDefault="00684198" w:rsidP="00684198">
      <w:pPr>
        <w:ind w:left="709" w:hanging="709"/>
        <w:rPr>
          <w:bCs/>
        </w:rPr>
      </w:pPr>
      <w:r>
        <w:rPr>
          <w:bCs/>
        </w:rPr>
        <w:t>(</w:t>
      </w:r>
      <w:r>
        <w:rPr>
          <w:bCs/>
          <w:i/>
        </w:rPr>
        <w:t>Before the decision</w:t>
      </w:r>
      <w:r>
        <w:rPr>
          <w:bCs/>
        </w:rPr>
        <w:t>)</w:t>
      </w:r>
    </w:p>
    <w:p w14:paraId="5AE75976" w14:textId="77777777" w:rsidR="00F73407" w:rsidRDefault="00F73407" w:rsidP="00F73407">
      <w:pPr>
        <w:rPr>
          <w:lang w:val="en-US"/>
        </w:rPr>
      </w:pPr>
    </w:p>
    <w:p w14:paraId="0B61A337" w14:textId="77777777" w:rsidR="00684198" w:rsidRPr="00684198" w:rsidRDefault="00684198" w:rsidP="00F73407">
      <w:pPr>
        <w:rPr>
          <w:lang w:val="en-US"/>
        </w:rPr>
      </w:pPr>
      <w:r w:rsidRPr="00684198">
        <w:rPr>
          <w:lang w:val="en-US"/>
        </w:rPr>
        <w:t>Pubplaintiff</w:t>
      </w:r>
      <w:r w:rsidR="00513724">
        <w:rPr>
          <w:lang w:val="en-US"/>
        </w:rPr>
        <w:t xml:space="preserve"> </w:t>
      </w:r>
      <w:r w:rsidRPr="00684198">
        <w:rPr>
          <w:lang w:val="en-US"/>
        </w:rPr>
        <w:t xml:space="preserve">is a dichotomous variable measuring whether the public party is the plaintiff </w:t>
      </w:r>
      <w:r w:rsidR="00513724">
        <w:rPr>
          <w:lang w:val="en-US"/>
        </w:rPr>
        <w:t xml:space="preserve">(=1) or the respondent (=0) </w:t>
      </w:r>
      <w:r w:rsidRPr="00684198">
        <w:rPr>
          <w:lang w:val="en-US"/>
        </w:rPr>
        <w:t xml:space="preserve">in the case. </w:t>
      </w:r>
    </w:p>
    <w:p w14:paraId="785FFB86" w14:textId="77777777" w:rsidR="00F73407" w:rsidRDefault="00F73407" w:rsidP="00F73407">
      <w:pPr>
        <w:rPr>
          <w:lang w:val="en-US"/>
        </w:rPr>
      </w:pPr>
    </w:p>
    <w:p w14:paraId="3BBF23A9" w14:textId="25925CDA" w:rsidR="00684198" w:rsidRPr="00684198" w:rsidRDefault="00513724" w:rsidP="00F73407">
      <w:pPr>
        <w:rPr>
          <w:lang w:val="en-US"/>
        </w:rPr>
      </w:pPr>
      <w:r>
        <w:rPr>
          <w:lang w:val="en-US"/>
        </w:rPr>
        <w:t xml:space="preserve">Third parties </w:t>
      </w:r>
      <w:r w:rsidR="00684198" w:rsidRPr="00684198">
        <w:rPr>
          <w:lang w:val="en-US"/>
        </w:rPr>
        <w:t xml:space="preserve">is a </w:t>
      </w:r>
      <w:r w:rsidR="00F05911">
        <w:rPr>
          <w:lang w:val="en-US"/>
        </w:rPr>
        <w:t xml:space="preserve">count </w:t>
      </w:r>
      <w:r w:rsidR="00684198" w:rsidRPr="00684198">
        <w:rPr>
          <w:lang w:val="en-US"/>
        </w:rPr>
        <w:t xml:space="preserve">variable </w:t>
      </w:r>
      <w:r w:rsidR="00F05911">
        <w:rPr>
          <w:lang w:val="en-US"/>
        </w:rPr>
        <w:t>measuring the total</w:t>
      </w:r>
      <w:r w:rsidR="00684198" w:rsidRPr="00684198">
        <w:rPr>
          <w:lang w:val="en-US"/>
        </w:rPr>
        <w:t xml:space="preserve"> number of legal intervenients who join any of the parties of the case (third-party or accessory intervention; </w:t>
      </w:r>
      <w:r w:rsidR="00684198" w:rsidRPr="00684198">
        <w:rPr>
          <w:i/>
          <w:lang w:val="en-US"/>
        </w:rPr>
        <w:t>hjelpeintervenient</w:t>
      </w:r>
      <w:r w:rsidR="00684198" w:rsidRPr="00684198">
        <w:rPr>
          <w:lang w:val="en-US"/>
        </w:rPr>
        <w:t>).</w:t>
      </w:r>
    </w:p>
    <w:p w14:paraId="2EC7EA74" w14:textId="77777777" w:rsidR="00684198" w:rsidRPr="00684198" w:rsidRDefault="00684198" w:rsidP="00684198">
      <w:pPr>
        <w:ind w:left="709" w:hanging="709"/>
        <w:rPr>
          <w:bCs/>
          <w:lang w:val="en-US"/>
        </w:rPr>
      </w:pPr>
    </w:p>
    <w:p w14:paraId="467A38BC" w14:textId="77777777" w:rsidR="00684198" w:rsidRPr="00684198" w:rsidRDefault="00684198" w:rsidP="00684198">
      <w:pPr>
        <w:ind w:left="709" w:hanging="709"/>
        <w:rPr>
          <w:bCs/>
          <w:lang w:val="en-US"/>
        </w:rPr>
      </w:pPr>
      <w:r w:rsidRPr="00684198">
        <w:rPr>
          <w:bCs/>
          <w:lang w:val="en-US"/>
        </w:rPr>
        <w:t>(</w:t>
      </w:r>
      <w:r w:rsidRPr="00684198">
        <w:rPr>
          <w:bCs/>
          <w:i/>
          <w:lang w:val="en-US"/>
        </w:rPr>
        <w:t>After the decision</w:t>
      </w:r>
      <w:r w:rsidRPr="00684198">
        <w:rPr>
          <w:bCs/>
          <w:lang w:val="en-US"/>
        </w:rPr>
        <w:t xml:space="preserve">) </w:t>
      </w:r>
    </w:p>
    <w:p w14:paraId="59DF60E8" w14:textId="6A26A63D" w:rsidR="00684198" w:rsidRPr="00684198" w:rsidRDefault="00684198" w:rsidP="00F73407">
      <w:pPr>
        <w:rPr>
          <w:lang w:val="en-US"/>
        </w:rPr>
      </w:pPr>
      <w:r w:rsidRPr="00684198">
        <w:rPr>
          <w:lang w:val="en-US"/>
        </w:rPr>
        <w:t>Words</w:t>
      </w:r>
      <w:r w:rsidR="00513724">
        <w:rPr>
          <w:lang w:val="en-US"/>
        </w:rPr>
        <w:t xml:space="preserve"> </w:t>
      </w:r>
      <w:r w:rsidRPr="00684198">
        <w:rPr>
          <w:lang w:val="en-US"/>
        </w:rPr>
        <w:t xml:space="preserve">is a </w:t>
      </w:r>
      <w:r w:rsidR="00F05911">
        <w:rPr>
          <w:lang w:val="en-US"/>
        </w:rPr>
        <w:t>count</w:t>
      </w:r>
      <w:r w:rsidR="00F05911" w:rsidRPr="00684198">
        <w:rPr>
          <w:lang w:val="en-US"/>
        </w:rPr>
        <w:t xml:space="preserve"> </w:t>
      </w:r>
      <w:r w:rsidRPr="00684198">
        <w:rPr>
          <w:lang w:val="en-US"/>
        </w:rPr>
        <w:t xml:space="preserve">variable </w:t>
      </w:r>
      <w:r w:rsidR="00F05911">
        <w:rPr>
          <w:lang w:val="en-US"/>
        </w:rPr>
        <w:t>measuring</w:t>
      </w:r>
      <w:r w:rsidRPr="00684198">
        <w:rPr>
          <w:lang w:val="en-US"/>
        </w:rPr>
        <w:t xml:space="preserve"> the total amount of words </w:t>
      </w:r>
      <w:r w:rsidR="00513724">
        <w:rPr>
          <w:lang w:val="en-US"/>
        </w:rPr>
        <w:t xml:space="preserve">in the majority’s decision (we exclude from the count </w:t>
      </w:r>
      <w:r w:rsidRPr="00684198">
        <w:rPr>
          <w:lang w:val="en-US"/>
        </w:rPr>
        <w:t xml:space="preserve">the amount of words, if relevant, in the dissenting and/or concurring justices’ opinions in the case.  </w:t>
      </w:r>
    </w:p>
    <w:p w14:paraId="137D48AC" w14:textId="77777777" w:rsidR="006E68EE" w:rsidRDefault="006E68EE" w:rsidP="00F73407">
      <w:pPr>
        <w:rPr>
          <w:lang w:val="en-US"/>
        </w:rPr>
      </w:pPr>
    </w:p>
    <w:p w14:paraId="69959199" w14:textId="25C687F2" w:rsidR="00684198" w:rsidRPr="00684198" w:rsidRDefault="00684198" w:rsidP="00F73407">
      <w:pPr>
        <w:rPr>
          <w:lang w:val="en-US"/>
        </w:rPr>
      </w:pPr>
      <w:r w:rsidRPr="00684198">
        <w:rPr>
          <w:lang w:val="en-US"/>
        </w:rPr>
        <w:t>Voices</w:t>
      </w:r>
      <w:r w:rsidR="00513724">
        <w:rPr>
          <w:lang w:val="en-US"/>
        </w:rPr>
        <w:t xml:space="preserve"> </w:t>
      </w:r>
      <w:r w:rsidRPr="00684198">
        <w:rPr>
          <w:lang w:val="en-US"/>
        </w:rPr>
        <w:t xml:space="preserve">is a </w:t>
      </w:r>
      <w:r w:rsidR="00F05911">
        <w:rPr>
          <w:lang w:val="en-US"/>
        </w:rPr>
        <w:t xml:space="preserve">count </w:t>
      </w:r>
      <w:r w:rsidRPr="00684198">
        <w:rPr>
          <w:lang w:val="en-US"/>
        </w:rPr>
        <w:t>variable measuring the number of justices who wr</w:t>
      </w:r>
      <w:r w:rsidR="00F05911">
        <w:rPr>
          <w:lang w:val="en-US"/>
        </w:rPr>
        <w:t>o</w:t>
      </w:r>
      <w:r w:rsidRPr="00684198">
        <w:rPr>
          <w:lang w:val="en-US"/>
        </w:rPr>
        <w:t xml:space="preserve">te an </w:t>
      </w:r>
      <w:r w:rsidR="006E0A69">
        <w:rPr>
          <w:lang w:val="en-US"/>
        </w:rPr>
        <w:t xml:space="preserve">additional </w:t>
      </w:r>
      <w:r w:rsidRPr="00684198">
        <w:rPr>
          <w:lang w:val="en-US"/>
        </w:rPr>
        <w:t xml:space="preserve">opinion or voice an </w:t>
      </w:r>
      <w:r w:rsidR="00F05911" w:rsidRPr="00684198">
        <w:rPr>
          <w:lang w:val="en-US"/>
        </w:rPr>
        <w:t>argument</w:t>
      </w:r>
      <w:r w:rsidR="00F05911">
        <w:rPr>
          <w:lang w:val="en-US"/>
        </w:rPr>
        <w:t>,</w:t>
      </w:r>
      <w:r w:rsidRPr="00684198">
        <w:rPr>
          <w:lang w:val="en-US"/>
        </w:rPr>
        <w:t xml:space="preserve"> or state</w:t>
      </w:r>
      <w:r w:rsidR="00F05911">
        <w:rPr>
          <w:lang w:val="en-US"/>
        </w:rPr>
        <w:t>d</w:t>
      </w:r>
      <w:r w:rsidRPr="00684198">
        <w:rPr>
          <w:lang w:val="en-US"/>
        </w:rPr>
        <w:t xml:space="preserve"> a position (</w:t>
      </w:r>
      <w:r w:rsidRPr="00684198">
        <w:rPr>
          <w:i/>
          <w:lang w:val="en-US"/>
        </w:rPr>
        <w:t>særmerknad</w:t>
      </w:r>
      <w:r w:rsidRPr="00684198">
        <w:rPr>
          <w:lang w:val="en-US"/>
        </w:rPr>
        <w:t xml:space="preserve">) in the respective case. The case </w:t>
      </w:r>
      <w:r w:rsidRPr="00684198">
        <w:rPr>
          <w:lang w:val="en-US"/>
        </w:rPr>
        <w:lastRenderedPageBreak/>
        <w:t xml:space="preserve">selection only includes five-justice panels, so there will be minimum one complex </w:t>
      </w:r>
      <w:r w:rsidRPr="00F4679F">
        <w:rPr>
          <w:lang w:val="en-US"/>
        </w:rPr>
        <w:t xml:space="preserve">voice and </w:t>
      </w:r>
      <w:r w:rsidR="00F05911">
        <w:rPr>
          <w:lang w:val="en-US"/>
        </w:rPr>
        <w:t xml:space="preserve">a </w:t>
      </w:r>
      <w:r w:rsidRPr="00F4679F">
        <w:rPr>
          <w:lang w:val="en-US"/>
        </w:rPr>
        <w:t>maximum five.</w:t>
      </w:r>
      <w:r w:rsidR="00513724" w:rsidRPr="00F4679F">
        <w:rPr>
          <w:lang w:val="en-US"/>
        </w:rPr>
        <w:t xml:space="preserve"> </w:t>
      </w:r>
    </w:p>
    <w:p w14:paraId="4859979F" w14:textId="77777777" w:rsidR="006E68EE" w:rsidRDefault="006E68EE" w:rsidP="00F73407">
      <w:pPr>
        <w:rPr>
          <w:lang w:val="en-US"/>
        </w:rPr>
      </w:pPr>
    </w:p>
    <w:p w14:paraId="29FF9B4F" w14:textId="4E7733E0" w:rsidR="00684198" w:rsidRPr="00684198" w:rsidRDefault="00684198" w:rsidP="00F73407">
      <w:pPr>
        <w:rPr>
          <w:lang w:val="en-US"/>
        </w:rPr>
      </w:pPr>
      <w:r w:rsidRPr="00684198">
        <w:rPr>
          <w:lang w:val="en-US"/>
        </w:rPr>
        <w:t>Dissen</w:t>
      </w:r>
      <w:r w:rsidR="00D22C74">
        <w:rPr>
          <w:lang w:val="en-US"/>
        </w:rPr>
        <w:t xml:space="preserve">t </w:t>
      </w:r>
      <w:r w:rsidRPr="00684198">
        <w:rPr>
          <w:lang w:val="en-US"/>
        </w:rPr>
        <w:t xml:space="preserve">is a dichotomous variable measuring whether the decision is unanimous or not. The variable is given the value 1 if the decision is </w:t>
      </w:r>
      <w:r w:rsidR="002A0130">
        <w:rPr>
          <w:lang w:val="en-US"/>
        </w:rPr>
        <w:t>non-</w:t>
      </w:r>
      <w:r w:rsidRPr="00684198">
        <w:rPr>
          <w:lang w:val="en-US"/>
        </w:rPr>
        <w:t xml:space="preserve">unanimous and 0 if not. </w:t>
      </w:r>
    </w:p>
    <w:p w14:paraId="301A7DE3" w14:textId="77777777" w:rsidR="006E68EE" w:rsidRDefault="006E68EE" w:rsidP="00F73407">
      <w:pPr>
        <w:rPr>
          <w:lang w:val="en-US"/>
        </w:rPr>
      </w:pPr>
    </w:p>
    <w:p w14:paraId="1AE4AD87" w14:textId="1FD00857" w:rsidR="00C15CD4" w:rsidRPr="00FC26DD" w:rsidRDefault="00C15CD4" w:rsidP="00C15CD4">
      <w:pPr>
        <w:rPr>
          <w:lang w:val="en-US"/>
        </w:rPr>
      </w:pPr>
      <w:r w:rsidRPr="00684198">
        <w:rPr>
          <w:lang w:val="en-US"/>
        </w:rPr>
        <w:t>EconRelev</w:t>
      </w:r>
      <w:r w:rsidRPr="00FC26DD">
        <w:rPr>
          <w:lang w:val="en-US"/>
        </w:rPr>
        <w:t xml:space="preserve">, </w:t>
      </w:r>
      <w:r w:rsidRPr="00FC26DD">
        <w:rPr>
          <w:bCs/>
          <w:i/>
          <w:lang w:val="en-US"/>
        </w:rPr>
        <w:t>the economic relevance of the case</w:t>
      </w:r>
      <w:r w:rsidRPr="00FC26DD">
        <w:rPr>
          <w:bCs/>
          <w:lang w:val="en-US"/>
        </w:rPr>
        <w:t>,</w:t>
      </w:r>
      <w:r w:rsidRPr="00684198">
        <w:rPr>
          <w:lang w:val="en-US"/>
        </w:rPr>
        <w:t xml:space="preserve"> is a</w:t>
      </w:r>
      <w:r>
        <w:rPr>
          <w:lang w:val="en-US"/>
        </w:rPr>
        <w:t xml:space="preserve">n ordinal </w:t>
      </w:r>
      <w:r w:rsidRPr="00FC26DD">
        <w:rPr>
          <w:lang w:val="en-US"/>
        </w:rPr>
        <w:t xml:space="preserve">three-value </w:t>
      </w:r>
      <w:r w:rsidRPr="00684198">
        <w:rPr>
          <w:lang w:val="en-US"/>
        </w:rPr>
        <w:t xml:space="preserve">variable measuring </w:t>
      </w:r>
      <w:r>
        <w:rPr>
          <w:lang w:val="en-US"/>
        </w:rPr>
        <w:t xml:space="preserve">the salience of </w:t>
      </w:r>
      <w:r w:rsidRPr="00684198">
        <w:rPr>
          <w:lang w:val="en-US"/>
        </w:rPr>
        <w:t xml:space="preserve">the economic issue </w:t>
      </w:r>
      <w:r>
        <w:rPr>
          <w:lang w:val="en-US"/>
        </w:rPr>
        <w:t xml:space="preserve">in </w:t>
      </w:r>
      <w:r w:rsidRPr="00FC26DD">
        <w:rPr>
          <w:lang w:val="en-US"/>
        </w:rPr>
        <w:t>a</w:t>
      </w:r>
      <w:r>
        <w:rPr>
          <w:lang w:val="en-US"/>
        </w:rPr>
        <w:t xml:space="preserve"> </w:t>
      </w:r>
      <w:r w:rsidRPr="00FC26DD">
        <w:rPr>
          <w:lang w:val="en-US"/>
        </w:rPr>
        <w:t xml:space="preserve">civil </w:t>
      </w:r>
      <w:r>
        <w:rPr>
          <w:lang w:val="en-US"/>
        </w:rPr>
        <w:t>case</w:t>
      </w:r>
      <w:r w:rsidRPr="00684198">
        <w:rPr>
          <w:lang w:val="en-US"/>
        </w:rPr>
        <w:t>. Th</w:t>
      </w:r>
      <w:r w:rsidRPr="00FC26DD">
        <w:rPr>
          <w:lang w:val="en-US"/>
        </w:rPr>
        <w:t>is variable</w:t>
      </w:r>
      <w:r w:rsidRPr="00684198">
        <w:rPr>
          <w:lang w:val="en-US"/>
        </w:rPr>
        <w:t xml:space="preserve"> variable is </w:t>
      </w:r>
      <w:r>
        <w:rPr>
          <w:lang w:val="en-US"/>
        </w:rPr>
        <w:t>coded</w:t>
      </w:r>
      <w:r w:rsidRPr="00684198">
        <w:rPr>
          <w:lang w:val="en-US"/>
        </w:rPr>
        <w:t xml:space="preserve"> 1 if the economic issue is </w:t>
      </w:r>
      <w:r>
        <w:rPr>
          <w:lang w:val="en-US"/>
        </w:rPr>
        <w:t>marginal</w:t>
      </w:r>
      <w:r w:rsidRPr="00684198">
        <w:rPr>
          <w:lang w:val="en-US"/>
        </w:rPr>
        <w:t>, 2 if the economic issue</w:t>
      </w:r>
      <w:r>
        <w:rPr>
          <w:lang w:val="en-US"/>
        </w:rPr>
        <w:t xml:space="preserve"> i</w:t>
      </w:r>
      <w:r w:rsidRPr="00684198">
        <w:rPr>
          <w:lang w:val="en-US"/>
        </w:rPr>
        <w:t xml:space="preserve">s </w:t>
      </w:r>
      <w:r w:rsidRPr="00FC26DD">
        <w:rPr>
          <w:lang w:val="en-US"/>
        </w:rPr>
        <w:t xml:space="preserve">of intermediate </w:t>
      </w:r>
      <w:r w:rsidRPr="00684198">
        <w:rPr>
          <w:lang w:val="en-US"/>
        </w:rPr>
        <w:t>relevan</w:t>
      </w:r>
      <w:r w:rsidRPr="00FC26DD">
        <w:rPr>
          <w:lang w:val="en-US"/>
        </w:rPr>
        <w:t>ce</w:t>
      </w:r>
      <w:r>
        <w:rPr>
          <w:lang w:val="en-US"/>
        </w:rPr>
        <w:t>,</w:t>
      </w:r>
      <w:r w:rsidRPr="00684198">
        <w:rPr>
          <w:lang w:val="en-US"/>
        </w:rPr>
        <w:t xml:space="preserve"> and 3 if the economic issue</w:t>
      </w:r>
      <w:r>
        <w:rPr>
          <w:lang w:val="en-US"/>
        </w:rPr>
        <w:t xml:space="preserve"> is</w:t>
      </w:r>
      <w:r w:rsidRPr="00684198">
        <w:rPr>
          <w:lang w:val="en-US"/>
        </w:rPr>
        <w:t xml:space="preserve"> </w:t>
      </w:r>
      <w:r w:rsidRPr="00FC26DD">
        <w:rPr>
          <w:lang w:val="en-US"/>
        </w:rPr>
        <w:t>central to the case</w:t>
      </w:r>
      <w:r w:rsidRPr="00684198">
        <w:rPr>
          <w:lang w:val="en-US"/>
        </w:rPr>
        <w:t>.</w:t>
      </w:r>
      <w:r w:rsidRPr="00FC26DD">
        <w:rPr>
          <w:lang w:val="en-US"/>
        </w:rPr>
        <w:t xml:space="preserve"> </w:t>
      </w:r>
      <w:r>
        <w:rPr>
          <w:lang w:val="en-US"/>
        </w:rPr>
        <w:t xml:space="preserve">In the analysis, the ordinal </w:t>
      </w:r>
      <w:r w:rsidRPr="00684198">
        <w:rPr>
          <w:lang w:val="en-US"/>
        </w:rPr>
        <w:t xml:space="preserve">variable was </w:t>
      </w:r>
      <w:r w:rsidR="00FC26DD" w:rsidRPr="00684198">
        <w:rPr>
          <w:lang w:val="en-US"/>
        </w:rPr>
        <w:t>recoded</w:t>
      </w:r>
      <w:r w:rsidR="00FC26DD">
        <w:rPr>
          <w:lang w:val="en-US"/>
        </w:rPr>
        <w:t xml:space="preserve"> </w:t>
      </w:r>
      <w:r w:rsidR="00FC26DD" w:rsidRPr="00684198">
        <w:rPr>
          <w:lang w:val="en-US"/>
        </w:rPr>
        <w:t>into</w:t>
      </w:r>
      <w:r w:rsidRPr="00684198">
        <w:rPr>
          <w:lang w:val="en-US"/>
        </w:rPr>
        <w:t xml:space="preserve"> dummy variables</w:t>
      </w:r>
      <w:r>
        <w:rPr>
          <w:lang w:val="en-US"/>
        </w:rPr>
        <w:t>,</w:t>
      </w:r>
      <w:r w:rsidRPr="00684198">
        <w:rPr>
          <w:lang w:val="en-US"/>
        </w:rPr>
        <w:t xml:space="preserve"> with low economic relevance as the omitted </w:t>
      </w:r>
      <w:r>
        <w:rPr>
          <w:lang w:val="en-US"/>
        </w:rPr>
        <w:t>category</w:t>
      </w:r>
      <w:r w:rsidRPr="00684198">
        <w:rPr>
          <w:lang w:val="en-US"/>
        </w:rPr>
        <w:t>.</w:t>
      </w:r>
      <w:r w:rsidRPr="00FC26DD">
        <w:rPr>
          <w:lang w:val="en-US"/>
        </w:rPr>
        <w:t xml:space="preserve"> The economic cases in our data consist mainly of tax cases, expropriation cases and tort cases.</w:t>
      </w:r>
    </w:p>
    <w:p w14:paraId="51E1D993" w14:textId="77777777" w:rsidR="00C15CD4" w:rsidRPr="00FC26DD" w:rsidRDefault="00C15CD4" w:rsidP="00C15CD4">
      <w:pPr>
        <w:rPr>
          <w:lang w:val="en-US"/>
        </w:rPr>
      </w:pPr>
    </w:p>
    <w:p w14:paraId="6064CBD2" w14:textId="2D8115A9" w:rsidR="00C15CD4" w:rsidRPr="00FC26DD" w:rsidRDefault="00C15CD4" w:rsidP="00C15CD4">
      <w:pPr>
        <w:rPr>
          <w:lang w:val="en-US"/>
        </w:rPr>
      </w:pPr>
      <w:r w:rsidRPr="00FC26DD">
        <w:rPr>
          <w:lang w:val="en-US"/>
        </w:rPr>
        <w:t xml:space="preserve">Cases are coded 1 if the economic issue is relatively marginal. A case is coded 1 if the case consists of a tort law case between the public and the private party, but where the presence and interest of the public party is considered less relevant. Also included in this category </w:t>
      </w:r>
      <w:r w:rsidR="00FC26DD" w:rsidRPr="00FC26DD">
        <w:rPr>
          <w:lang w:val="en-US"/>
        </w:rPr>
        <w:t>are expropriation cases</w:t>
      </w:r>
      <w:r w:rsidRPr="00FC26DD">
        <w:rPr>
          <w:lang w:val="en-US"/>
        </w:rPr>
        <w:t xml:space="preserve"> where the court reviews the legality of the public decision to expropriate a private property. </w:t>
      </w:r>
    </w:p>
    <w:p w14:paraId="15EC14F4" w14:textId="77777777" w:rsidR="00C15CD4" w:rsidRPr="00FC26DD" w:rsidRDefault="00C15CD4" w:rsidP="00C15CD4">
      <w:pPr>
        <w:rPr>
          <w:lang w:val="en-US"/>
        </w:rPr>
      </w:pPr>
    </w:p>
    <w:p w14:paraId="1CEC8A11" w14:textId="4C28C5C4" w:rsidR="00C15CD4" w:rsidRPr="00FC26DD" w:rsidRDefault="00C15CD4" w:rsidP="00C15CD4">
      <w:pPr>
        <w:rPr>
          <w:lang w:val="en-US"/>
        </w:rPr>
      </w:pPr>
      <w:r w:rsidRPr="00FC26DD">
        <w:rPr>
          <w:lang w:val="en-US"/>
        </w:rPr>
        <w:t xml:space="preserve">Cases are coded 2 if the economic issue is of intermediate relevance. A case is coded 2 if the case consists of tort cases between parties where the presence and interest of the public party is considered to be an important aspect of the case. Also included in this category are expropriation cases where the court decides the private party’s economic compensation. </w:t>
      </w:r>
    </w:p>
    <w:p w14:paraId="39797535" w14:textId="77777777" w:rsidR="00C15CD4" w:rsidRPr="00FC26DD" w:rsidRDefault="00C15CD4" w:rsidP="00C15CD4">
      <w:pPr>
        <w:rPr>
          <w:lang w:val="en-US"/>
        </w:rPr>
      </w:pPr>
    </w:p>
    <w:p w14:paraId="03925397" w14:textId="18C2D9F4" w:rsidR="00C15CD4" w:rsidRDefault="00C15CD4" w:rsidP="00C15CD4">
      <w:r w:rsidRPr="00FC26DD">
        <w:rPr>
          <w:lang w:val="en-US"/>
        </w:rPr>
        <w:t>Cases are coded 3 if the economic issue is considered substan</w:t>
      </w:r>
      <w:r w:rsidR="00FC26DD">
        <w:rPr>
          <w:lang w:val="en-US"/>
        </w:rPr>
        <w:t>t</w:t>
      </w:r>
      <w:r w:rsidRPr="00FC26DD">
        <w:rPr>
          <w:lang w:val="en-US"/>
        </w:rPr>
        <w:t xml:space="preserve">ial. This applies predominantly to tax cases and other cases where the legal question clearly involved a financial dispute in which both the public or private party laid claims to the amount of money identified through the legal question. </w:t>
      </w:r>
      <w:r>
        <w:t>If this is the case, the code 3 applies.</w:t>
      </w:r>
    </w:p>
    <w:p w14:paraId="71AF5EEC" w14:textId="77777777" w:rsidR="007C6D5E" w:rsidRDefault="007C6D5E" w:rsidP="007C6D5E">
      <w:pPr>
        <w:rPr>
          <w:lang w:val="en-US"/>
        </w:rPr>
      </w:pPr>
    </w:p>
    <w:p w14:paraId="6FD97AF1" w14:textId="5CA92B79" w:rsidR="00684198" w:rsidRDefault="00E636A3" w:rsidP="00C15CD4">
      <w:pPr>
        <w:pStyle w:val="Overskrift1"/>
      </w:pPr>
      <w:r>
        <w:lastRenderedPageBreak/>
        <w:t xml:space="preserve">Three </w:t>
      </w:r>
      <w:r w:rsidR="00684198">
        <w:t>Intermediate models</w:t>
      </w:r>
    </w:p>
    <w:p w14:paraId="035C401D" w14:textId="77777777" w:rsidR="006E68EE" w:rsidRDefault="006E68EE" w:rsidP="00C15CD4">
      <w:pPr>
        <w:keepNext/>
        <w:rPr>
          <w:bCs/>
          <w:lang w:val="en-US"/>
        </w:rPr>
      </w:pPr>
    </w:p>
    <w:p w14:paraId="054E6F75" w14:textId="4C62F265" w:rsidR="007F26AF" w:rsidRPr="007F26AF" w:rsidRDefault="007F26AF" w:rsidP="00C15CD4">
      <w:pPr>
        <w:keepNext/>
        <w:rPr>
          <w:bCs/>
          <w:lang w:val="en-US"/>
        </w:rPr>
      </w:pPr>
      <w:r w:rsidRPr="007F26AF">
        <w:rPr>
          <w:bCs/>
          <w:lang w:val="en-US"/>
        </w:rPr>
        <w:t xml:space="preserve">Between the </w:t>
      </w:r>
      <w:r w:rsidR="0014324C">
        <w:rPr>
          <w:bCs/>
          <w:lang w:val="en-US"/>
        </w:rPr>
        <w:t xml:space="preserve">intercept-only </w:t>
      </w:r>
      <w:r w:rsidRPr="007F26AF">
        <w:rPr>
          <w:bCs/>
          <w:lang w:val="en-US"/>
        </w:rPr>
        <w:t xml:space="preserve">model </w:t>
      </w:r>
      <w:r w:rsidR="0014324C">
        <w:rPr>
          <w:bCs/>
          <w:lang w:val="en-US"/>
        </w:rPr>
        <w:t xml:space="preserve">(Table 2) </w:t>
      </w:r>
      <w:r w:rsidRPr="007F26AF">
        <w:rPr>
          <w:bCs/>
          <w:lang w:val="en-US"/>
        </w:rPr>
        <w:t xml:space="preserve">and the final model </w:t>
      </w:r>
      <w:r w:rsidR="0014324C">
        <w:rPr>
          <w:bCs/>
          <w:lang w:val="en-US"/>
        </w:rPr>
        <w:t xml:space="preserve">(Table 3) </w:t>
      </w:r>
      <w:r w:rsidRPr="007F26AF">
        <w:rPr>
          <w:bCs/>
          <w:lang w:val="en-US"/>
        </w:rPr>
        <w:t xml:space="preserve">in our paper </w:t>
      </w:r>
      <w:r w:rsidR="008D349F">
        <w:rPr>
          <w:bCs/>
          <w:lang w:val="en-US"/>
        </w:rPr>
        <w:t xml:space="preserve">we tested and report here </w:t>
      </w:r>
      <w:r w:rsidRPr="007F26AF">
        <w:rPr>
          <w:bCs/>
          <w:lang w:val="en-US"/>
        </w:rPr>
        <w:t xml:space="preserve">three intermediate models </w:t>
      </w:r>
      <w:r w:rsidR="00F05911">
        <w:rPr>
          <w:bCs/>
          <w:lang w:val="en-US"/>
        </w:rPr>
        <w:t>that</w:t>
      </w:r>
      <w:r w:rsidR="00F05911" w:rsidRPr="007F26AF">
        <w:rPr>
          <w:bCs/>
          <w:lang w:val="en-US"/>
        </w:rPr>
        <w:t xml:space="preserve"> </w:t>
      </w:r>
      <w:r w:rsidRPr="007F26AF">
        <w:rPr>
          <w:bCs/>
          <w:lang w:val="en-US"/>
        </w:rPr>
        <w:t>demonstrate the stepwise sequence of testing and weighing varia</w:t>
      </w:r>
      <w:r>
        <w:rPr>
          <w:bCs/>
          <w:lang w:val="en-US"/>
        </w:rPr>
        <w:t>bles toward the final model</w:t>
      </w:r>
      <w:r w:rsidR="00DE71CB">
        <w:rPr>
          <w:bCs/>
          <w:lang w:val="en-US"/>
        </w:rPr>
        <w:t xml:space="preserve"> specification</w:t>
      </w:r>
      <w:r>
        <w:rPr>
          <w:bCs/>
          <w:lang w:val="en-US"/>
        </w:rPr>
        <w:t xml:space="preserve">. These </w:t>
      </w:r>
      <w:r w:rsidR="00E636A3">
        <w:rPr>
          <w:bCs/>
          <w:lang w:val="en-US"/>
        </w:rPr>
        <w:t xml:space="preserve">intermediate models are </w:t>
      </w:r>
      <w:r w:rsidR="00DE71CB">
        <w:rPr>
          <w:bCs/>
          <w:lang w:val="en-US"/>
        </w:rPr>
        <w:t>conveniently</w:t>
      </w:r>
      <w:r w:rsidR="00E636A3">
        <w:rPr>
          <w:bCs/>
          <w:lang w:val="en-US"/>
        </w:rPr>
        <w:t xml:space="preserve"> labeled J, J+P, and J+P+C to indicate the cluster of variables pertaining to Justices, </w:t>
      </w:r>
      <w:r w:rsidR="00DE71CB">
        <w:rPr>
          <w:bCs/>
          <w:lang w:val="en-US"/>
        </w:rPr>
        <w:t>Panel</w:t>
      </w:r>
      <w:r w:rsidR="00E636A3">
        <w:rPr>
          <w:bCs/>
          <w:lang w:val="en-US"/>
        </w:rPr>
        <w:t xml:space="preserve"> and Case. The models are summarized</w:t>
      </w:r>
      <w:r>
        <w:rPr>
          <w:bCs/>
          <w:lang w:val="en-US"/>
        </w:rPr>
        <w:t xml:space="preserve"> in Table A1.</w:t>
      </w:r>
    </w:p>
    <w:p w14:paraId="0514596D" w14:textId="77777777" w:rsidR="006E68EE" w:rsidRDefault="006E68EE" w:rsidP="00F73407">
      <w:pPr>
        <w:rPr>
          <w:lang w:val="en-US"/>
        </w:rPr>
      </w:pPr>
    </w:p>
    <w:p w14:paraId="2D169161" w14:textId="40885016" w:rsidR="007F26AF" w:rsidRPr="007F26AF" w:rsidRDefault="007F26AF" w:rsidP="00F73407">
      <w:pPr>
        <w:rPr>
          <w:lang w:val="en-US"/>
        </w:rPr>
      </w:pPr>
      <w:r w:rsidRPr="007F26AF">
        <w:rPr>
          <w:lang w:val="en-US"/>
        </w:rPr>
        <w:t>In</w:t>
      </w:r>
      <w:r w:rsidR="00DE71CB">
        <w:rPr>
          <w:lang w:val="en-US"/>
        </w:rPr>
        <w:t xml:space="preserve"> the</w:t>
      </w:r>
      <w:r w:rsidRPr="007F26AF">
        <w:rPr>
          <w:lang w:val="en-US"/>
        </w:rPr>
        <w:t xml:space="preserve"> </w:t>
      </w:r>
      <w:r w:rsidR="00E636A3">
        <w:rPr>
          <w:lang w:val="en-US"/>
        </w:rPr>
        <w:t>first intermed</w:t>
      </w:r>
      <w:r w:rsidR="008D349F">
        <w:rPr>
          <w:lang w:val="en-US"/>
        </w:rPr>
        <w:t>ia</w:t>
      </w:r>
      <w:r w:rsidR="00E636A3">
        <w:rPr>
          <w:lang w:val="en-US"/>
        </w:rPr>
        <w:t xml:space="preserve">te </w:t>
      </w:r>
      <w:r w:rsidRPr="007F26AF">
        <w:rPr>
          <w:lang w:val="en-US"/>
        </w:rPr>
        <w:t xml:space="preserve">step (Model </w:t>
      </w:r>
      <w:r>
        <w:rPr>
          <w:lang w:val="en-US"/>
        </w:rPr>
        <w:t>J</w:t>
      </w:r>
      <w:r w:rsidRPr="007F26AF">
        <w:rPr>
          <w:lang w:val="en-US"/>
        </w:rPr>
        <w:t xml:space="preserve">) we enter the thirteen independent variables of ideology and personal attributes that pertain to individual justices. </w:t>
      </w:r>
    </w:p>
    <w:p w14:paraId="78B7699C" w14:textId="77777777" w:rsidR="006E68EE" w:rsidRDefault="006E68EE" w:rsidP="007F26AF">
      <w:pPr>
        <w:rPr>
          <w:bCs/>
          <w:lang w:val="en-US"/>
        </w:rPr>
      </w:pPr>
    </w:p>
    <w:p w14:paraId="55D400B7" w14:textId="4875226D" w:rsidR="007F26AF" w:rsidRPr="007F26AF" w:rsidRDefault="007F26AF" w:rsidP="007F26AF">
      <w:pPr>
        <w:rPr>
          <w:bCs/>
          <w:lang w:val="en-US"/>
        </w:rPr>
      </w:pPr>
      <w:r w:rsidRPr="007F26AF">
        <w:rPr>
          <w:bCs/>
          <w:lang w:val="en-US"/>
        </w:rPr>
        <w:t xml:space="preserve">In the </w:t>
      </w:r>
      <w:r w:rsidR="00E636A3">
        <w:rPr>
          <w:bCs/>
          <w:lang w:val="en-US"/>
        </w:rPr>
        <w:t xml:space="preserve">second intermediate </w:t>
      </w:r>
      <w:r w:rsidRPr="007F26AF">
        <w:rPr>
          <w:bCs/>
          <w:lang w:val="en-US"/>
        </w:rPr>
        <w:t xml:space="preserve">step (Model </w:t>
      </w:r>
      <w:r>
        <w:rPr>
          <w:bCs/>
          <w:lang w:val="en-US"/>
        </w:rPr>
        <w:t>J+P</w:t>
      </w:r>
      <w:r w:rsidRPr="007F26AF">
        <w:rPr>
          <w:bCs/>
          <w:lang w:val="en-US"/>
        </w:rPr>
        <w:t xml:space="preserve">) we eliminate </w:t>
      </w:r>
      <w:r w:rsidR="008D349F" w:rsidRPr="007F26AF">
        <w:rPr>
          <w:bCs/>
          <w:lang w:val="en-US"/>
        </w:rPr>
        <w:t xml:space="preserve">from Model </w:t>
      </w:r>
      <w:r w:rsidR="008D349F">
        <w:rPr>
          <w:bCs/>
          <w:lang w:val="en-US"/>
        </w:rPr>
        <w:t>J</w:t>
      </w:r>
      <w:r w:rsidR="008D349F" w:rsidRPr="007F26AF">
        <w:rPr>
          <w:bCs/>
          <w:lang w:val="en-US"/>
        </w:rPr>
        <w:t xml:space="preserve"> </w:t>
      </w:r>
      <w:r w:rsidRPr="007F26AF">
        <w:rPr>
          <w:bCs/>
          <w:lang w:val="en-US"/>
        </w:rPr>
        <w:t xml:space="preserve">the independent variables that fail to reach acceptable levels of theoretical or statistical significance, and we enter the eight independent panel-level variables that meaningfully </w:t>
      </w:r>
      <w:r w:rsidR="008D349F">
        <w:rPr>
          <w:bCs/>
          <w:lang w:val="en-US"/>
        </w:rPr>
        <w:t xml:space="preserve">correspond to </w:t>
      </w:r>
      <w:r w:rsidRPr="007F26AF">
        <w:rPr>
          <w:bCs/>
          <w:lang w:val="en-US"/>
        </w:rPr>
        <w:t xml:space="preserve">the </w:t>
      </w:r>
      <w:r w:rsidR="008D349F">
        <w:rPr>
          <w:bCs/>
          <w:lang w:val="en-US"/>
        </w:rPr>
        <w:t xml:space="preserve">initial </w:t>
      </w:r>
      <w:r w:rsidRPr="007F26AF">
        <w:rPr>
          <w:bCs/>
          <w:lang w:val="en-US"/>
        </w:rPr>
        <w:t>thirteen individual</w:t>
      </w:r>
      <w:r w:rsidR="008D349F">
        <w:rPr>
          <w:bCs/>
          <w:lang w:val="en-US"/>
        </w:rPr>
        <w:t>-level</w:t>
      </w:r>
      <w:r w:rsidRPr="007F26AF">
        <w:rPr>
          <w:bCs/>
          <w:lang w:val="en-US"/>
        </w:rPr>
        <w:t xml:space="preserve"> variables.</w:t>
      </w:r>
    </w:p>
    <w:p w14:paraId="2F5B7CA9" w14:textId="77777777" w:rsidR="006E68EE" w:rsidRDefault="006E68EE" w:rsidP="007F26AF">
      <w:pPr>
        <w:rPr>
          <w:bCs/>
          <w:lang w:val="en-US"/>
        </w:rPr>
      </w:pPr>
    </w:p>
    <w:p w14:paraId="412C5B73" w14:textId="50B67F8C" w:rsidR="007F26AF" w:rsidRPr="007F26AF" w:rsidRDefault="007F26AF" w:rsidP="007F26AF">
      <w:pPr>
        <w:rPr>
          <w:bCs/>
          <w:lang w:val="en-US"/>
        </w:rPr>
      </w:pPr>
      <w:r w:rsidRPr="007F26AF">
        <w:rPr>
          <w:bCs/>
          <w:lang w:val="en-US"/>
        </w:rPr>
        <w:t xml:space="preserve">In the </w:t>
      </w:r>
      <w:r w:rsidR="00C450B2">
        <w:rPr>
          <w:bCs/>
          <w:lang w:val="en-US"/>
        </w:rPr>
        <w:t xml:space="preserve">third intermediate </w:t>
      </w:r>
      <w:r w:rsidRPr="007F26AF">
        <w:rPr>
          <w:bCs/>
          <w:lang w:val="en-US"/>
        </w:rPr>
        <w:t xml:space="preserve">step (Model </w:t>
      </w:r>
      <w:r>
        <w:rPr>
          <w:bCs/>
          <w:lang w:val="en-US"/>
        </w:rPr>
        <w:t>J+P+C</w:t>
      </w:r>
      <w:r w:rsidRPr="007F26AF">
        <w:rPr>
          <w:bCs/>
          <w:lang w:val="en-US"/>
        </w:rPr>
        <w:t xml:space="preserve">) we eliminate the eight individual level variables that failed to reach acceptable levels of statistical significance through Models </w:t>
      </w:r>
      <w:r w:rsidR="008D349F">
        <w:rPr>
          <w:bCs/>
          <w:lang w:val="en-US"/>
        </w:rPr>
        <w:t>J</w:t>
      </w:r>
      <w:r w:rsidRPr="007F26AF">
        <w:rPr>
          <w:bCs/>
          <w:lang w:val="en-US"/>
        </w:rPr>
        <w:t xml:space="preserve"> and </w:t>
      </w:r>
      <w:r w:rsidR="008D349F">
        <w:rPr>
          <w:bCs/>
          <w:lang w:val="en-US"/>
        </w:rPr>
        <w:t>J+P</w:t>
      </w:r>
      <w:r w:rsidRPr="007F26AF">
        <w:rPr>
          <w:bCs/>
          <w:lang w:val="en-US"/>
        </w:rPr>
        <w:t xml:space="preserve">, and we eliminate the six panel level variables that failed to reach acceptable levels of statistical significance in Model </w:t>
      </w:r>
      <w:r>
        <w:rPr>
          <w:bCs/>
          <w:lang w:val="en-US"/>
        </w:rPr>
        <w:t>J+P</w:t>
      </w:r>
      <w:r w:rsidR="00DE71CB">
        <w:rPr>
          <w:bCs/>
          <w:lang w:val="en-US"/>
        </w:rPr>
        <w:t>. W</w:t>
      </w:r>
      <w:r w:rsidRPr="007F26AF">
        <w:rPr>
          <w:bCs/>
          <w:lang w:val="en-US"/>
        </w:rPr>
        <w:t>e introduce the seven independent variables at the case level.</w:t>
      </w:r>
    </w:p>
    <w:p w14:paraId="5DBD24FD" w14:textId="77777777" w:rsidR="007C6D5E" w:rsidRDefault="007C6D5E" w:rsidP="00C71F1F">
      <w:pPr>
        <w:rPr>
          <w:lang w:val="en-US"/>
        </w:rPr>
      </w:pPr>
    </w:p>
    <w:p w14:paraId="3C40F26D" w14:textId="77777777" w:rsidR="007F26AF" w:rsidRPr="007F26AF" w:rsidRDefault="007F26AF" w:rsidP="00345E6C">
      <w:pPr>
        <w:pStyle w:val="Overskrift2"/>
        <w:rPr>
          <w:lang w:val="en-US"/>
        </w:rPr>
      </w:pPr>
      <w:bookmarkStart w:id="7" w:name="_Toc375248478"/>
      <w:r w:rsidRPr="007F26AF">
        <w:rPr>
          <w:lang w:val="en-US"/>
        </w:rPr>
        <w:t>Model J. Justices’ attitudes and attributes</w:t>
      </w:r>
      <w:bookmarkEnd w:id="7"/>
    </w:p>
    <w:p w14:paraId="154146F5" w14:textId="77777777" w:rsidR="00F73407" w:rsidRDefault="00F73407" w:rsidP="007F26AF">
      <w:pPr>
        <w:rPr>
          <w:lang w:val="en-US"/>
        </w:rPr>
      </w:pPr>
    </w:p>
    <w:p w14:paraId="22A10462" w14:textId="77777777" w:rsidR="007F26AF" w:rsidRPr="007F26AF" w:rsidRDefault="007F26AF" w:rsidP="007F26AF">
      <w:pPr>
        <w:rPr>
          <w:lang w:val="en-US"/>
        </w:rPr>
      </w:pPr>
      <w:r w:rsidRPr="007F26AF">
        <w:rPr>
          <w:lang w:val="en-US"/>
        </w:rPr>
        <w:t xml:space="preserve">In </w:t>
      </w:r>
      <w:r w:rsidR="008D349F">
        <w:rPr>
          <w:lang w:val="en-US"/>
        </w:rPr>
        <w:t>M</w:t>
      </w:r>
      <w:r w:rsidRPr="007F26AF">
        <w:rPr>
          <w:lang w:val="en-US"/>
        </w:rPr>
        <w:t xml:space="preserve">odel </w:t>
      </w:r>
      <w:r w:rsidR="008D349F">
        <w:rPr>
          <w:lang w:val="en-US"/>
        </w:rPr>
        <w:t xml:space="preserve">J </w:t>
      </w:r>
      <w:r w:rsidRPr="007F26AF">
        <w:rPr>
          <w:lang w:val="en-US"/>
        </w:rPr>
        <w:t>we include the thirteen independent variables that pertain to the attitudinal model, including variables that measure personal attributes.</w:t>
      </w:r>
    </w:p>
    <w:p w14:paraId="1631F3B4" w14:textId="77777777" w:rsidR="007F26AF" w:rsidRPr="007F26AF" w:rsidRDefault="007F26AF" w:rsidP="007F26AF">
      <w:pPr>
        <w:rPr>
          <w:lang w:val="en-US"/>
        </w:rPr>
      </w:pPr>
    </w:p>
    <w:p w14:paraId="155EFA8A" w14:textId="77777777" w:rsidR="007F26AF" w:rsidRPr="007F26AF" w:rsidRDefault="007F26AF" w:rsidP="007F26AF">
      <w:pPr>
        <w:jc w:val="center"/>
        <w:rPr>
          <w:lang w:val="en-US"/>
        </w:rPr>
      </w:pPr>
      <w:r w:rsidRPr="007F26AF">
        <w:rPr>
          <w:lang w:val="en-US"/>
        </w:rPr>
        <w:t xml:space="preserve">[Table </w:t>
      </w:r>
      <w:r>
        <w:rPr>
          <w:lang w:val="en-US"/>
        </w:rPr>
        <w:t>A1</w:t>
      </w:r>
      <w:r w:rsidRPr="007F26AF">
        <w:rPr>
          <w:lang w:val="en-US"/>
        </w:rPr>
        <w:t xml:space="preserve"> about here]</w:t>
      </w:r>
    </w:p>
    <w:p w14:paraId="77BE31CF" w14:textId="77777777" w:rsidR="007F26AF" w:rsidRPr="007F26AF" w:rsidRDefault="007F26AF" w:rsidP="007F26AF">
      <w:pPr>
        <w:rPr>
          <w:lang w:val="en-US"/>
        </w:rPr>
      </w:pPr>
    </w:p>
    <w:p w14:paraId="5689BC72" w14:textId="65CC93D6" w:rsidR="007F26AF" w:rsidRPr="007F26AF" w:rsidRDefault="007F26AF" w:rsidP="007F26AF">
      <w:pPr>
        <w:rPr>
          <w:lang w:val="en-US"/>
        </w:rPr>
      </w:pPr>
      <w:r w:rsidRPr="007F26AF">
        <w:rPr>
          <w:lang w:val="en-US"/>
        </w:rPr>
        <w:t xml:space="preserve">The results </w:t>
      </w:r>
      <w:r w:rsidR="00BB120E">
        <w:rPr>
          <w:lang w:val="en-US"/>
        </w:rPr>
        <w:t>of the one-</w:t>
      </w:r>
      <w:r w:rsidR="00BB120E" w:rsidRPr="007F26AF">
        <w:rPr>
          <w:lang w:val="en-US"/>
        </w:rPr>
        <w:t xml:space="preserve">level </w:t>
      </w:r>
      <w:r w:rsidR="00BB120E">
        <w:rPr>
          <w:lang w:val="en-US"/>
        </w:rPr>
        <w:t>M</w:t>
      </w:r>
      <w:r w:rsidR="00BB120E" w:rsidRPr="007F26AF">
        <w:rPr>
          <w:lang w:val="en-US"/>
        </w:rPr>
        <w:t>odel</w:t>
      </w:r>
      <w:r w:rsidR="00BB120E">
        <w:rPr>
          <w:lang w:val="en-US"/>
        </w:rPr>
        <w:t>-J</w:t>
      </w:r>
      <w:r w:rsidR="00BB120E" w:rsidRPr="007F26AF">
        <w:rPr>
          <w:lang w:val="en-US"/>
        </w:rPr>
        <w:t xml:space="preserve"> </w:t>
      </w:r>
      <w:r w:rsidRPr="007F26AF">
        <w:rPr>
          <w:lang w:val="en-US"/>
        </w:rPr>
        <w:t>inform us that the justice</w:t>
      </w:r>
      <w:r w:rsidR="008329B8">
        <w:rPr>
          <w:lang w:val="en-US"/>
        </w:rPr>
        <w:t>-</w:t>
      </w:r>
      <w:r w:rsidRPr="007F26AF">
        <w:rPr>
          <w:lang w:val="en-US"/>
        </w:rPr>
        <w:t xml:space="preserve">level variables do improve the explanatory power of the model. The likelihood-ratio test of </w:t>
      </w:r>
      <w:r w:rsidR="00C53666">
        <w:rPr>
          <w:lang w:val="en-US"/>
        </w:rPr>
        <w:t xml:space="preserve">the </w:t>
      </w:r>
      <w:r w:rsidR="0014324C">
        <w:rPr>
          <w:bCs/>
          <w:lang w:val="en-US"/>
        </w:rPr>
        <w:t xml:space="preserve">intercept-only </w:t>
      </w:r>
      <w:r w:rsidR="0014324C" w:rsidRPr="007F26AF">
        <w:rPr>
          <w:bCs/>
          <w:lang w:val="en-US"/>
        </w:rPr>
        <w:t xml:space="preserve"> model </w:t>
      </w:r>
      <w:r w:rsidRPr="007F26AF">
        <w:rPr>
          <w:lang w:val="en-US"/>
        </w:rPr>
        <w:t xml:space="preserve">nested in model </w:t>
      </w:r>
      <w:r>
        <w:rPr>
          <w:lang w:val="en-US"/>
        </w:rPr>
        <w:t>J</w:t>
      </w:r>
      <w:r w:rsidRPr="007F26AF">
        <w:rPr>
          <w:lang w:val="en-US"/>
        </w:rPr>
        <w:t xml:space="preserve"> indicates that the justice</w:t>
      </w:r>
      <w:r w:rsidR="008329B8">
        <w:rPr>
          <w:lang w:val="en-US"/>
        </w:rPr>
        <w:t>-</w:t>
      </w:r>
      <w:r w:rsidRPr="007F26AF">
        <w:rPr>
          <w:lang w:val="en-US"/>
        </w:rPr>
        <w:t xml:space="preserve">level variables contribute to a better model fit and the AIC </w:t>
      </w:r>
      <w:r w:rsidRPr="007F26AF">
        <w:rPr>
          <w:lang w:val="en-US"/>
        </w:rPr>
        <w:lastRenderedPageBreak/>
        <w:t xml:space="preserve">estimate has decreased compared to </w:t>
      </w:r>
      <w:r w:rsidR="00C53666">
        <w:rPr>
          <w:lang w:val="en-US"/>
        </w:rPr>
        <w:t>the empty model</w:t>
      </w:r>
      <w:r w:rsidRPr="007F26AF">
        <w:rPr>
          <w:lang w:val="en-US"/>
        </w:rPr>
        <w:t>.</w:t>
      </w:r>
      <w:r w:rsidRPr="007F26AF">
        <w:rPr>
          <w:rStyle w:val="Fotnotereferanse"/>
          <w:lang w:val="en-US"/>
        </w:rPr>
        <w:t xml:space="preserve"> </w:t>
      </w:r>
      <w:r>
        <w:rPr>
          <w:rStyle w:val="Fotnotereferanse"/>
        </w:rPr>
        <w:footnoteReference w:id="1"/>
      </w:r>
      <w:r w:rsidRPr="007F26AF">
        <w:rPr>
          <w:lang w:val="en-US"/>
        </w:rPr>
        <w:t xml:space="preserve"> (The intraclass correlation has increased from .921 to .925 compared to </w:t>
      </w:r>
      <w:r w:rsidR="00C53666">
        <w:rPr>
          <w:lang w:val="en-US"/>
        </w:rPr>
        <w:t xml:space="preserve">the empty model </w:t>
      </w:r>
      <w:r>
        <w:rPr>
          <w:lang w:val="en-US"/>
        </w:rPr>
        <w:t>in the paper</w:t>
      </w:r>
      <w:r w:rsidRPr="007F26AF">
        <w:rPr>
          <w:lang w:val="en-US"/>
        </w:rPr>
        <w:t xml:space="preserve">. This </w:t>
      </w:r>
      <w:r w:rsidR="00C53666">
        <w:rPr>
          <w:lang w:val="en-US"/>
        </w:rPr>
        <w:t xml:space="preserve">change is due to </w:t>
      </w:r>
      <w:r w:rsidRPr="007F26AF">
        <w:rPr>
          <w:lang w:val="en-US"/>
        </w:rPr>
        <w:t xml:space="preserve">an uneven distribution of justice characteristics in the different cases.)  </w:t>
      </w:r>
    </w:p>
    <w:p w14:paraId="044BE17A" w14:textId="77777777" w:rsidR="00F73407" w:rsidRDefault="00F73407" w:rsidP="007F26AF">
      <w:pPr>
        <w:rPr>
          <w:lang w:val="en-US"/>
        </w:rPr>
      </w:pPr>
    </w:p>
    <w:p w14:paraId="7D0F5121" w14:textId="56DF8C3E" w:rsidR="007F26AF" w:rsidRPr="007F26AF" w:rsidRDefault="007F26AF" w:rsidP="007F26AF">
      <w:pPr>
        <w:rPr>
          <w:lang w:val="en-US"/>
        </w:rPr>
      </w:pPr>
      <w:r w:rsidRPr="007F26AF">
        <w:rPr>
          <w:lang w:val="en-US"/>
        </w:rPr>
        <w:t xml:space="preserve">Six of the thirteen independent variables have a significant effect at the .10-level on the justices’ votes. First, we see that justices who have been appointed by </w:t>
      </w:r>
      <w:r w:rsidRPr="007F26AF">
        <w:rPr>
          <w:i/>
          <w:lang w:val="en-US"/>
        </w:rPr>
        <w:t>social-democratic</w:t>
      </w:r>
      <w:r w:rsidRPr="007F26AF">
        <w:rPr>
          <w:lang w:val="en-US"/>
        </w:rPr>
        <w:t xml:space="preserve"> or social-democratic dominant governments are more likely to vote for the public party. It follows that justices who have been appointed by non-socialist governments are more likely to vote for the private party (p</w:t>
      </w:r>
      <w:r w:rsidR="004056D8">
        <w:rPr>
          <w:lang w:val="en-US"/>
        </w:rPr>
        <w:t xml:space="preserve"> </w:t>
      </w:r>
      <w:r w:rsidRPr="007F26AF">
        <w:rPr>
          <w:lang w:val="en-US"/>
        </w:rPr>
        <w:t>&lt;</w:t>
      </w:r>
      <w:r w:rsidR="004056D8">
        <w:rPr>
          <w:lang w:val="en-US"/>
        </w:rPr>
        <w:t xml:space="preserve"> </w:t>
      </w:r>
      <w:r w:rsidRPr="007F26AF">
        <w:rPr>
          <w:lang w:val="en-US"/>
        </w:rPr>
        <w:t>.04).</w:t>
      </w:r>
    </w:p>
    <w:p w14:paraId="6E15A8D5" w14:textId="77777777" w:rsidR="00F73407" w:rsidRDefault="00F73407" w:rsidP="007F26AF">
      <w:pPr>
        <w:rPr>
          <w:lang w:val="en-US"/>
        </w:rPr>
      </w:pPr>
    </w:p>
    <w:p w14:paraId="4FA85885" w14:textId="59141005" w:rsidR="007F26AF" w:rsidRPr="007F26AF" w:rsidRDefault="007F26AF" w:rsidP="007F26AF">
      <w:pPr>
        <w:rPr>
          <w:lang w:val="en-US"/>
        </w:rPr>
      </w:pPr>
      <w:r w:rsidRPr="007F26AF">
        <w:rPr>
          <w:lang w:val="en-US"/>
        </w:rPr>
        <w:t xml:space="preserve">Justices who have been </w:t>
      </w:r>
      <w:r w:rsidRPr="007F26AF">
        <w:rPr>
          <w:i/>
          <w:lang w:val="en-US"/>
        </w:rPr>
        <w:t>professors</w:t>
      </w:r>
      <w:r w:rsidRPr="007F26AF">
        <w:rPr>
          <w:lang w:val="en-US"/>
        </w:rPr>
        <w:t xml:space="preserve"> at the country’s law schools (or university faculties of law) are more likely to vote for the private party (p</w:t>
      </w:r>
      <w:r w:rsidR="004056D8">
        <w:rPr>
          <w:lang w:val="en-US"/>
        </w:rPr>
        <w:t xml:space="preserve"> </w:t>
      </w:r>
      <w:r w:rsidRPr="007F26AF">
        <w:rPr>
          <w:lang w:val="en-US"/>
        </w:rPr>
        <w:t>&lt;</w:t>
      </w:r>
      <w:r w:rsidR="004056D8">
        <w:rPr>
          <w:lang w:val="en-US"/>
        </w:rPr>
        <w:t xml:space="preserve"> </w:t>
      </w:r>
      <w:r w:rsidRPr="007F26AF">
        <w:rPr>
          <w:lang w:val="en-US"/>
        </w:rPr>
        <w:t xml:space="preserve">.01). </w:t>
      </w:r>
    </w:p>
    <w:p w14:paraId="4FFAF754" w14:textId="77777777" w:rsidR="00F73407" w:rsidRDefault="00F73407" w:rsidP="007F26AF">
      <w:pPr>
        <w:rPr>
          <w:lang w:val="en-US"/>
        </w:rPr>
      </w:pPr>
    </w:p>
    <w:p w14:paraId="0858D823" w14:textId="71B7866D" w:rsidR="007F26AF" w:rsidRPr="007F26AF" w:rsidRDefault="007F26AF" w:rsidP="007F26AF">
      <w:pPr>
        <w:rPr>
          <w:lang w:val="en-US"/>
        </w:rPr>
      </w:pPr>
      <w:r w:rsidRPr="007F26AF">
        <w:rPr>
          <w:lang w:val="en-US"/>
        </w:rPr>
        <w:t xml:space="preserve">Also, the few justices who served in the office of the </w:t>
      </w:r>
      <w:r w:rsidRPr="007F26AF">
        <w:rPr>
          <w:i/>
          <w:lang w:val="en-US"/>
        </w:rPr>
        <w:t>Director General of Public Prosecutions</w:t>
      </w:r>
      <w:r w:rsidRPr="007F26AF">
        <w:rPr>
          <w:lang w:val="en-US"/>
        </w:rPr>
        <w:t xml:space="preserve"> before they were appointed to the Supreme Court are more likely to vote for the public party (p</w:t>
      </w:r>
      <w:r w:rsidR="004056D8">
        <w:rPr>
          <w:lang w:val="en-US"/>
        </w:rPr>
        <w:t xml:space="preserve"> </w:t>
      </w:r>
      <w:r w:rsidRPr="007F26AF">
        <w:rPr>
          <w:lang w:val="en-US"/>
        </w:rPr>
        <w:t>&lt;</w:t>
      </w:r>
      <w:r w:rsidR="004056D8">
        <w:rPr>
          <w:lang w:val="en-US"/>
        </w:rPr>
        <w:t xml:space="preserve"> </w:t>
      </w:r>
      <w:r w:rsidRPr="007F26AF">
        <w:rPr>
          <w:lang w:val="en-US"/>
        </w:rPr>
        <w:t>.02).</w:t>
      </w:r>
    </w:p>
    <w:p w14:paraId="69EF2668" w14:textId="77777777" w:rsidR="00F73407" w:rsidRDefault="00F73407" w:rsidP="007F26AF">
      <w:pPr>
        <w:rPr>
          <w:lang w:val="en-US"/>
        </w:rPr>
      </w:pPr>
    </w:p>
    <w:p w14:paraId="536866D1" w14:textId="28ACF20B" w:rsidR="007F26AF" w:rsidRPr="007F26AF" w:rsidRDefault="007F26AF" w:rsidP="007F26AF">
      <w:pPr>
        <w:rPr>
          <w:lang w:val="en-US"/>
        </w:rPr>
      </w:pPr>
      <w:r w:rsidRPr="007F26AF">
        <w:rPr>
          <w:lang w:val="en-US"/>
        </w:rPr>
        <w:t xml:space="preserve">We also find that justices who were born and raised in </w:t>
      </w:r>
      <w:r w:rsidRPr="007F26AF">
        <w:rPr>
          <w:i/>
          <w:lang w:val="en-US"/>
        </w:rPr>
        <w:t>Oslo</w:t>
      </w:r>
      <w:r w:rsidRPr="007F26AF">
        <w:rPr>
          <w:lang w:val="en-US"/>
        </w:rPr>
        <w:t xml:space="preserve"> (or </w:t>
      </w:r>
      <w:r w:rsidRPr="007F26AF">
        <w:rPr>
          <w:i/>
          <w:lang w:val="en-US"/>
        </w:rPr>
        <w:t>Kristiania</w:t>
      </w:r>
      <w:r w:rsidRPr="007F26AF">
        <w:rPr>
          <w:lang w:val="en-US"/>
        </w:rPr>
        <w:t>), the country’s capital and dominant city, are more likely to vote for the private party (p</w:t>
      </w:r>
      <w:r w:rsidR="004056D8">
        <w:rPr>
          <w:lang w:val="en-US"/>
        </w:rPr>
        <w:t xml:space="preserve"> </w:t>
      </w:r>
      <w:r w:rsidRPr="007F26AF">
        <w:rPr>
          <w:lang w:val="en-US"/>
        </w:rPr>
        <w:t>&lt;</w:t>
      </w:r>
      <w:r w:rsidR="004056D8">
        <w:rPr>
          <w:lang w:val="en-US"/>
        </w:rPr>
        <w:t xml:space="preserve"> </w:t>
      </w:r>
      <w:r w:rsidRPr="007F26AF">
        <w:rPr>
          <w:lang w:val="en-US"/>
        </w:rPr>
        <w:t xml:space="preserve">.09). It follows that justices who were born outside of Oslo, including the country’s elongated peripheries, are more likely to vote for the public party. </w:t>
      </w:r>
    </w:p>
    <w:p w14:paraId="16A15C45" w14:textId="77777777" w:rsidR="00F73407" w:rsidRDefault="00F73407" w:rsidP="007F26AF">
      <w:pPr>
        <w:rPr>
          <w:lang w:val="en-US"/>
        </w:rPr>
      </w:pPr>
    </w:p>
    <w:p w14:paraId="673D514A" w14:textId="0DCE5FCC" w:rsidR="007F26AF" w:rsidRPr="007F26AF" w:rsidRDefault="007F26AF" w:rsidP="007F26AF">
      <w:pPr>
        <w:rPr>
          <w:lang w:val="en-US"/>
        </w:rPr>
      </w:pPr>
      <w:r w:rsidRPr="007F26AF">
        <w:rPr>
          <w:lang w:val="en-US"/>
        </w:rPr>
        <w:t>There are two independent and significant variables that relate to the justice</w:t>
      </w:r>
      <w:r w:rsidR="004056D8">
        <w:rPr>
          <w:lang w:val="en-US"/>
        </w:rPr>
        <w:t>’</w:t>
      </w:r>
      <w:r w:rsidRPr="007F26AF">
        <w:rPr>
          <w:lang w:val="en-US"/>
        </w:rPr>
        <w:t xml:space="preserve">s position or status within the Court. </w:t>
      </w:r>
      <w:r w:rsidRPr="007F26AF">
        <w:rPr>
          <w:i/>
          <w:lang w:val="en-US"/>
        </w:rPr>
        <w:t>Chief justices</w:t>
      </w:r>
      <w:r w:rsidRPr="007F26AF">
        <w:rPr>
          <w:lang w:val="en-US"/>
        </w:rPr>
        <w:t xml:space="preserve"> are more likely to vote for the private party (p</w:t>
      </w:r>
      <w:r w:rsidR="004056D8">
        <w:rPr>
          <w:lang w:val="en-US"/>
        </w:rPr>
        <w:t xml:space="preserve"> </w:t>
      </w:r>
      <w:r w:rsidRPr="007F26AF">
        <w:rPr>
          <w:lang w:val="en-US"/>
        </w:rPr>
        <w:t>&lt;</w:t>
      </w:r>
      <w:r w:rsidR="004056D8">
        <w:rPr>
          <w:lang w:val="en-US"/>
        </w:rPr>
        <w:t xml:space="preserve"> </w:t>
      </w:r>
      <w:r w:rsidRPr="007F26AF">
        <w:rPr>
          <w:lang w:val="en-US"/>
        </w:rPr>
        <w:t>.09). And the more senior a justice is on the court, the more likely he or she will vote for the private party (p</w:t>
      </w:r>
      <w:r w:rsidR="004056D8">
        <w:rPr>
          <w:lang w:val="en-US"/>
        </w:rPr>
        <w:t xml:space="preserve"> </w:t>
      </w:r>
      <w:r w:rsidRPr="007F26AF">
        <w:rPr>
          <w:lang w:val="en-US"/>
        </w:rPr>
        <w:t>&lt;</w:t>
      </w:r>
      <w:r w:rsidR="004056D8">
        <w:rPr>
          <w:lang w:val="en-US"/>
        </w:rPr>
        <w:t xml:space="preserve"> </w:t>
      </w:r>
      <w:r w:rsidRPr="007F26AF">
        <w:rPr>
          <w:lang w:val="en-US"/>
        </w:rPr>
        <w:t>.07). Since seniority also obliquely measures age, we can also conclude that as justices get older, the more likely they are to vote for the private party.</w:t>
      </w:r>
    </w:p>
    <w:p w14:paraId="475D798A" w14:textId="77777777" w:rsidR="00F73407" w:rsidRDefault="00F73407" w:rsidP="007F26AF">
      <w:pPr>
        <w:rPr>
          <w:lang w:val="en-US"/>
        </w:rPr>
      </w:pPr>
    </w:p>
    <w:p w14:paraId="36647D44" w14:textId="413DD9BE" w:rsidR="007F26AF" w:rsidRPr="007F26AF" w:rsidRDefault="007F26AF" w:rsidP="007F26AF">
      <w:pPr>
        <w:rPr>
          <w:lang w:val="en-US"/>
        </w:rPr>
      </w:pPr>
      <w:r w:rsidRPr="007F26AF">
        <w:rPr>
          <w:lang w:val="en-US"/>
        </w:rPr>
        <w:t xml:space="preserve">A total of seven independent variables fall short of conventional significance levels. A justice’s former employment in </w:t>
      </w:r>
      <w:r w:rsidRPr="007F26AF">
        <w:rPr>
          <w:i/>
          <w:lang w:val="en-US"/>
        </w:rPr>
        <w:t>private law practice</w:t>
      </w:r>
      <w:r w:rsidRPr="007F26AF">
        <w:rPr>
          <w:lang w:val="en-US"/>
        </w:rPr>
        <w:t xml:space="preserve">, as </w:t>
      </w:r>
      <w:r w:rsidRPr="007F26AF">
        <w:rPr>
          <w:i/>
          <w:lang w:val="en-US"/>
        </w:rPr>
        <w:t>lower court judge</w:t>
      </w:r>
      <w:r w:rsidRPr="007F26AF">
        <w:rPr>
          <w:lang w:val="en-US"/>
        </w:rPr>
        <w:t xml:space="preserve">, in the office of the </w:t>
      </w:r>
      <w:r w:rsidRPr="007F26AF">
        <w:rPr>
          <w:i/>
          <w:lang w:val="en-US"/>
        </w:rPr>
        <w:lastRenderedPageBreak/>
        <w:t>Government Advocate</w:t>
      </w:r>
      <w:r w:rsidRPr="007F26AF">
        <w:rPr>
          <w:lang w:val="en-US"/>
        </w:rPr>
        <w:t xml:space="preserve">, in the Government’s </w:t>
      </w:r>
      <w:r w:rsidRPr="007F26AF">
        <w:rPr>
          <w:i/>
          <w:lang w:val="en-US"/>
        </w:rPr>
        <w:t xml:space="preserve">Legislation </w:t>
      </w:r>
      <w:r w:rsidR="004056D8">
        <w:rPr>
          <w:i/>
          <w:lang w:val="en-US"/>
        </w:rPr>
        <w:t>D</w:t>
      </w:r>
      <w:r w:rsidRPr="007F26AF">
        <w:rPr>
          <w:i/>
          <w:lang w:val="en-US"/>
        </w:rPr>
        <w:t>epartment</w:t>
      </w:r>
      <w:r w:rsidRPr="007F26AF">
        <w:rPr>
          <w:lang w:val="en-US"/>
        </w:rPr>
        <w:t xml:space="preserve">, has no influence on his or her vote in economic cases. Neither are there any effects of </w:t>
      </w:r>
      <w:r w:rsidRPr="007F26AF">
        <w:rPr>
          <w:i/>
          <w:lang w:val="en-US"/>
        </w:rPr>
        <w:t>sex</w:t>
      </w:r>
      <w:r w:rsidRPr="007F26AF">
        <w:rPr>
          <w:lang w:val="en-US"/>
        </w:rPr>
        <w:t>, being</w:t>
      </w:r>
      <w:r w:rsidR="004056D8">
        <w:rPr>
          <w:lang w:val="en-US"/>
        </w:rPr>
        <w:t xml:space="preserve"> an</w:t>
      </w:r>
      <w:r w:rsidRPr="007F26AF">
        <w:rPr>
          <w:lang w:val="en-US"/>
        </w:rPr>
        <w:t xml:space="preserve"> </w:t>
      </w:r>
      <w:r w:rsidRPr="007F26AF">
        <w:rPr>
          <w:i/>
          <w:lang w:val="en-US"/>
        </w:rPr>
        <w:t>interim justice</w:t>
      </w:r>
      <w:r w:rsidRPr="007F26AF">
        <w:rPr>
          <w:lang w:val="en-US"/>
        </w:rPr>
        <w:t xml:space="preserve"> or </w:t>
      </w:r>
      <w:r w:rsidRPr="007F26AF">
        <w:rPr>
          <w:i/>
          <w:lang w:val="en-US"/>
        </w:rPr>
        <w:t>age</w:t>
      </w:r>
      <w:r w:rsidRPr="007F26AF">
        <w:rPr>
          <w:lang w:val="en-US"/>
        </w:rPr>
        <w:t xml:space="preserve"> on the justices’ votes in these cases.</w:t>
      </w:r>
      <w:r>
        <w:rPr>
          <w:rStyle w:val="Fotnotereferanse"/>
        </w:rPr>
        <w:footnoteReference w:id="2"/>
      </w:r>
      <w:r w:rsidRPr="007F26AF">
        <w:rPr>
          <w:lang w:val="en-US"/>
        </w:rPr>
        <w:t xml:space="preserve"> Additional tests supported the conclusion that the statistical basis for </w:t>
      </w:r>
      <w:r w:rsidR="004056D8" w:rsidRPr="007F26AF">
        <w:rPr>
          <w:lang w:val="en-US"/>
        </w:rPr>
        <w:t>t</w:t>
      </w:r>
      <w:r w:rsidR="004056D8">
        <w:rPr>
          <w:lang w:val="en-US"/>
        </w:rPr>
        <w:t>he continued inclusion of these</w:t>
      </w:r>
      <w:r w:rsidR="004056D8" w:rsidRPr="007F26AF">
        <w:rPr>
          <w:lang w:val="en-US"/>
        </w:rPr>
        <w:t xml:space="preserve"> </w:t>
      </w:r>
      <w:r w:rsidRPr="007F26AF">
        <w:rPr>
          <w:lang w:val="en-US"/>
        </w:rPr>
        <w:t>seven variables was too weak.</w:t>
      </w:r>
    </w:p>
    <w:p w14:paraId="48267D6F" w14:textId="77777777" w:rsidR="007F26AF" w:rsidRPr="007F26AF" w:rsidRDefault="007F26AF" w:rsidP="007F26AF">
      <w:pPr>
        <w:rPr>
          <w:lang w:val="en-US"/>
        </w:rPr>
      </w:pPr>
    </w:p>
    <w:p w14:paraId="07A6DC1A" w14:textId="77777777" w:rsidR="007F26AF" w:rsidRPr="007F26AF" w:rsidRDefault="007F26AF" w:rsidP="00345E6C">
      <w:pPr>
        <w:pStyle w:val="Overskrift2"/>
        <w:rPr>
          <w:lang w:val="en-US"/>
        </w:rPr>
      </w:pPr>
      <w:bookmarkStart w:id="8" w:name="_Toc375248479"/>
      <w:r w:rsidRPr="007F26AF">
        <w:rPr>
          <w:lang w:val="en-US"/>
        </w:rPr>
        <w:t xml:space="preserve">Model </w:t>
      </w:r>
      <w:r>
        <w:rPr>
          <w:lang w:val="en-US"/>
        </w:rPr>
        <w:t>J+P</w:t>
      </w:r>
      <w:r w:rsidRPr="007F26AF">
        <w:rPr>
          <w:lang w:val="en-US"/>
        </w:rPr>
        <w:t>. Justices’ attitudes and attributes, and panel level effects</w:t>
      </w:r>
      <w:bookmarkEnd w:id="8"/>
    </w:p>
    <w:p w14:paraId="680C7EFE" w14:textId="77777777" w:rsidR="00F73407" w:rsidRDefault="00F73407" w:rsidP="007F26AF">
      <w:pPr>
        <w:rPr>
          <w:lang w:val="en-US"/>
        </w:rPr>
      </w:pPr>
    </w:p>
    <w:p w14:paraId="27567D94" w14:textId="4BA1CB97" w:rsidR="007F26AF" w:rsidRPr="007F26AF" w:rsidRDefault="007F26AF" w:rsidP="007F26AF">
      <w:pPr>
        <w:rPr>
          <w:lang w:val="en-US"/>
        </w:rPr>
      </w:pPr>
      <w:r w:rsidRPr="007F26AF">
        <w:rPr>
          <w:lang w:val="en-US"/>
        </w:rPr>
        <w:t xml:space="preserve">In model </w:t>
      </w:r>
      <w:r>
        <w:rPr>
          <w:lang w:val="en-US"/>
        </w:rPr>
        <w:t xml:space="preserve">J+P </w:t>
      </w:r>
      <w:r w:rsidRPr="007F26AF">
        <w:rPr>
          <w:lang w:val="en-US"/>
        </w:rPr>
        <w:t xml:space="preserve">we also include </w:t>
      </w:r>
      <w:r w:rsidR="0014324C">
        <w:rPr>
          <w:lang w:val="en-US"/>
        </w:rPr>
        <w:t xml:space="preserve">variables </w:t>
      </w:r>
      <w:r w:rsidRPr="007F26AF">
        <w:rPr>
          <w:lang w:val="en-US"/>
        </w:rPr>
        <w:t xml:space="preserve">that are located at the panel level. </w:t>
      </w:r>
    </w:p>
    <w:p w14:paraId="4270CAA3" w14:textId="77777777" w:rsidR="00F73407" w:rsidRDefault="00F73407" w:rsidP="006B1D68">
      <w:pPr>
        <w:rPr>
          <w:lang w:val="en-US"/>
        </w:rPr>
      </w:pPr>
    </w:p>
    <w:p w14:paraId="3C1C7015" w14:textId="7CD7368C" w:rsidR="007F26AF" w:rsidRPr="007F26AF" w:rsidRDefault="007F26AF" w:rsidP="006B1D68">
      <w:pPr>
        <w:rPr>
          <w:lang w:val="en-US"/>
        </w:rPr>
      </w:pPr>
      <w:r w:rsidRPr="007F26AF">
        <w:rPr>
          <w:lang w:val="en-US"/>
        </w:rPr>
        <w:t xml:space="preserve">The introduction of panel variables </w:t>
      </w:r>
      <w:r w:rsidR="000A114F">
        <w:rPr>
          <w:lang w:val="en-US"/>
        </w:rPr>
        <w:t>provides a minor improvement</w:t>
      </w:r>
      <w:r w:rsidRPr="007F26AF">
        <w:rPr>
          <w:lang w:val="en-US"/>
        </w:rPr>
        <w:t xml:space="preserve"> to the model</w:t>
      </w:r>
      <w:r w:rsidR="004056D8">
        <w:rPr>
          <w:lang w:val="en-US"/>
        </w:rPr>
        <w:t>’</w:t>
      </w:r>
      <w:r w:rsidRPr="007F26AF">
        <w:rPr>
          <w:lang w:val="en-US"/>
        </w:rPr>
        <w:t xml:space="preserve">s explanatory power </w:t>
      </w:r>
      <w:r w:rsidR="000A114F">
        <w:rPr>
          <w:lang w:val="en-US"/>
        </w:rPr>
        <w:t>over</w:t>
      </w:r>
      <w:r w:rsidRPr="007F26AF">
        <w:rPr>
          <w:lang w:val="en-US"/>
        </w:rPr>
        <w:t xml:space="preserve"> the justice</w:t>
      </w:r>
      <w:r w:rsidR="008329B8">
        <w:rPr>
          <w:lang w:val="en-US"/>
        </w:rPr>
        <w:t>-</w:t>
      </w:r>
      <w:r w:rsidRPr="007F26AF">
        <w:rPr>
          <w:lang w:val="en-US"/>
        </w:rPr>
        <w:t xml:space="preserve">level model (see table </w:t>
      </w:r>
      <w:r>
        <w:rPr>
          <w:lang w:val="en-US"/>
        </w:rPr>
        <w:t>A1</w:t>
      </w:r>
      <w:r w:rsidRPr="007F26AF">
        <w:rPr>
          <w:lang w:val="en-US"/>
        </w:rPr>
        <w:t xml:space="preserve">). First, the likelihood-ratio test of model </w:t>
      </w:r>
      <w:r w:rsidR="00B870F6">
        <w:rPr>
          <w:lang w:val="en-US"/>
        </w:rPr>
        <w:t>J</w:t>
      </w:r>
      <w:r w:rsidRPr="007F26AF">
        <w:rPr>
          <w:lang w:val="en-US"/>
        </w:rPr>
        <w:t xml:space="preserve"> nested in model </w:t>
      </w:r>
      <w:r w:rsidR="00B870F6">
        <w:rPr>
          <w:lang w:val="en-US"/>
        </w:rPr>
        <w:t>J+P</w:t>
      </w:r>
      <w:r w:rsidRPr="007F26AF">
        <w:rPr>
          <w:lang w:val="en-US"/>
        </w:rPr>
        <w:t xml:space="preserve"> indicates that model </w:t>
      </w:r>
      <w:r w:rsidR="00B870F6">
        <w:rPr>
          <w:lang w:val="en-US"/>
        </w:rPr>
        <w:t>J+P</w:t>
      </w:r>
      <w:r w:rsidRPr="007F26AF">
        <w:rPr>
          <w:lang w:val="en-US"/>
        </w:rPr>
        <w:t xml:space="preserve"> is a better model fit if one accepts a liberal significance level (p</w:t>
      </w:r>
      <w:r w:rsidR="004056D8">
        <w:rPr>
          <w:lang w:val="en-US"/>
        </w:rPr>
        <w:t xml:space="preserve"> </w:t>
      </w:r>
      <w:r w:rsidRPr="007F26AF">
        <w:rPr>
          <w:lang w:val="en-US"/>
        </w:rPr>
        <w:t>&lt;</w:t>
      </w:r>
      <w:r w:rsidR="004056D8">
        <w:rPr>
          <w:lang w:val="en-US"/>
        </w:rPr>
        <w:t xml:space="preserve"> </w:t>
      </w:r>
      <w:r w:rsidRPr="007F26AF">
        <w:rPr>
          <w:lang w:val="en-US"/>
        </w:rPr>
        <w:t xml:space="preserve">.06). Second, the AIC value </w:t>
      </w:r>
      <w:r w:rsidR="000A114F">
        <w:rPr>
          <w:lang w:val="en-US"/>
        </w:rPr>
        <w:t>is slightly smaller</w:t>
      </w:r>
      <w:r w:rsidRPr="007F26AF">
        <w:rPr>
          <w:lang w:val="en-US"/>
        </w:rPr>
        <w:t xml:space="preserve"> compared to model </w:t>
      </w:r>
      <w:r w:rsidR="00B870F6">
        <w:rPr>
          <w:lang w:val="en-US"/>
        </w:rPr>
        <w:t>J</w:t>
      </w:r>
      <w:r w:rsidRPr="007F26AF">
        <w:rPr>
          <w:lang w:val="en-US"/>
        </w:rPr>
        <w:t xml:space="preserve">. Third, the intraclass correlation </w:t>
      </w:r>
      <w:r w:rsidR="000A114F">
        <w:rPr>
          <w:lang w:val="en-US"/>
        </w:rPr>
        <w:t>drops</w:t>
      </w:r>
      <w:r w:rsidRPr="007F26AF">
        <w:rPr>
          <w:lang w:val="en-US"/>
        </w:rPr>
        <w:t xml:space="preserve"> from .925 to .923, indicating that the panel variables </w:t>
      </w:r>
      <w:r w:rsidR="000A114F">
        <w:rPr>
          <w:lang w:val="en-US"/>
        </w:rPr>
        <w:t>make</w:t>
      </w:r>
      <w:r w:rsidRPr="007F26AF">
        <w:rPr>
          <w:lang w:val="en-US"/>
        </w:rPr>
        <w:t xml:space="preserve"> a small contribution to the models explanatory power. </w:t>
      </w:r>
    </w:p>
    <w:p w14:paraId="7C1AAC6C" w14:textId="77777777" w:rsidR="00F73407" w:rsidRDefault="00F73407" w:rsidP="007F26AF">
      <w:pPr>
        <w:rPr>
          <w:lang w:val="en-US"/>
        </w:rPr>
      </w:pPr>
    </w:p>
    <w:p w14:paraId="2A049CE3" w14:textId="6754819B" w:rsidR="007F26AF" w:rsidRPr="007F26AF" w:rsidRDefault="007F26AF" w:rsidP="007F26AF">
      <w:pPr>
        <w:rPr>
          <w:lang w:val="en-US"/>
        </w:rPr>
      </w:pPr>
      <w:r w:rsidRPr="007F26AF">
        <w:rPr>
          <w:lang w:val="en-US"/>
        </w:rPr>
        <w:t>First, of the six significant justice</w:t>
      </w:r>
      <w:r w:rsidR="000A114F">
        <w:rPr>
          <w:lang w:val="en-US"/>
        </w:rPr>
        <w:t>-</w:t>
      </w:r>
      <w:r w:rsidRPr="007F26AF">
        <w:rPr>
          <w:lang w:val="en-US"/>
        </w:rPr>
        <w:t xml:space="preserve">level variables that we kept from the previous model, five retain their direction and significant effects. Only Oslo-born justices failed to meet the minimum statistical threshold of .10. We also carried over from </w:t>
      </w:r>
      <w:r w:rsidR="00B870F6">
        <w:rPr>
          <w:lang w:val="en-US"/>
        </w:rPr>
        <w:t>M</w:t>
      </w:r>
      <w:r w:rsidRPr="007F26AF">
        <w:rPr>
          <w:lang w:val="en-US"/>
        </w:rPr>
        <w:t xml:space="preserve">odel </w:t>
      </w:r>
      <w:r w:rsidR="00B870F6">
        <w:rPr>
          <w:lang w:val="en-US"/>
        </w:rPr>
        <w:t xml:space="preserve">J </w:t>
      </w:r>
      <w:r w:rsidRPr="007F26AF">
        <w:rPr>
          <w:lang w:val="en-US"/>
        </w:rPr>
        <w:t xml:space="preserve">the theoretically interesting variable of </w:t>
      </w:r>
      <w:r w:rsidR="008329B8">
        <w:rPr>
          <w:lang w:val="en-US"/>
        </w:rPr>
        <w:t xml:space="preserve">prior </w:t>
      </w:r>
      <w:r w:rsidRPr="007F26AF">
        <w:rPr>
          <w:lang w:val="en-US"/>
        </w:rPr>
        <w:t xml:space="preserve">employment </w:t>
      </w:r>
      <w:r w:rsidR="008329B8">
        <w:rPr>
          <w:lang w:val="en-US"/>
        </w:rPr>
        <w:t>in</w:t>
      </w:r>
      <w:r w:rsidRPr="007F26AF">
        <w:rPr>
          <w:lang w:val="en-US"/>
        </w:rPr>
        <w:t xml:space="preserve"> the Legislation Department, but again this variable failed to gain any traction.</w:t>
      </w:r>
    </w:p>
    <w:p w14:paraId="2655A9F1" w14:textId="77777777" w:rsidR="00F73407" w:rsidRDefault="00F73407" w:rsidP="0063473A">
      <w:pPr>
        <w:rPr>
          <w:lang w:val="en-US"/>
        </w:rPr>
      </w:pPr>
    </w:p>
    <w:p w14:paraId="0E038057" w14:textId="2066E5AF" w:rsidR="00DE1170" w:rsidRDefault="007F26AF" w:rsidP="0014324C">
      <w:pPr>
        <w:rPr>
          <w:lang w:val="en-US"/>
        </w:rPr>
      </w:pPr>
      <w:r w:rsidRPr="007F26AF">
        <w:rPr>
          <w:lang w:val="en-US"/>
        </w:rPr>
        <w:t xml:space="preserve">Second, in Model </w:t>
      </w:r>
      <w:r>
        <w:rPr>
          <w:lang w:val="en-US"/>
        </w:rPr>
        <w:t>J+P</w:t>
      </w:r>
      <w:r w:rsidRPr="007F26AF">
        <w:rPr>
          <w:lang w:val="en-US"/>
        </w:rPr>
        <w:t xml:space="preserve"> we included the eight panel variables that meaningfully </w:t>
      </w:r>
      <w:r w:rsidR="00B870F6">
        <w:rPr>
          <w:lang w:val="en-US"/>
        </w:rPr>
        <w:t xml:space="preserve">corresponded to </w:t>
      </w:r>
      <w:r w:rsidRPr="007F26AF">
        <w:rPr>
          <w:lang w:val="en-US"/>
        </w:rPr>
        <w:t>these justice</w:t>
      </w:r>
      <w:r w:rsidR="008329B8">
        <w:rPr>
          <w:lang w:val="en-US"/>
        </w:rPr>
        <w:t>-</w:t>
      </w:r>
      <w:r w:rsidRPr="007F26AF">
        <w:rPr>
          <w:lang w:val="en-US"/>
        </w:rPr>
        <w:t>levels variables. Of these eight panel</w:t>
      </w:r>
      <w:r w:rsidR="008329B8">
        <w:rPr>
          <w:lang w:val="en-US"/>
        </w:rPr>
        <w:t>-</w:t>
      </w:r>
      <w:r w:rsidRPr="007F26AF">
        <w:rPr>
          <w:lang w:val="en-US"/>
        </w:rPr>
        <w:t>level variables, only two reached the minimum threshold (i.e. p</w:t>
      </w:r>
      <w:r w:rsidR="008329B8">
        <w:rPr>
          <w:lang w:val="en-US"/>
        </w:rPr>
        <w:t xml:space="preserve"> </w:t>
      </w:r>
      <w:r w:rsidRPr="007F26AF">
        <w:rPr>
          <w:lang w:val="en-US"/>
        </w:rPr>
        <w:t>&lt;</w:t>
      </w:r>
      <w:r w:rsidR="008329B8">
        <w:rPr>
          <w:lang w:val="en-US"/>
        </w:rPr>
        <w:t xml:space="preserve"> </w:t>
      </w:r>
      <w:r w:rsidRPr="007F26AF">
        <w:rPr>
          <w:lang w:val="en-US"/>
        </w:rPr>
        <w:t>.10) of s</w:t>
      </w:r>
      <w:r w:rsidR="00DE1170">
        <w:rPr>
          <w:lang w:val="en-US"/>
        </w:rPr>
        <w:t>tatistical significance</w:t>
      </w:r>
      <w:r w:rsidR="0014324C">
        <w:rPr>
          <w:lang w:val="en-US"/>
        </w:rPr>
        <w:t xml:space="preserve">: </w:t>
      </w:r>
      <w:r w:rsidR="0014324C" w:rsidRPr="00684198">
        <w:rPr>
          <w:lang w:val="en-US"/>
        </w:rPr>
        <w:t xml:space="preserve">a </w:t>
      </w:r>
      <w:r w:rsidR="0014324C">
        <w:rPr>
          <w:lang w:val="en-US"/>
        </w:rPr>
        <w:t xml:space="preserve">panel </w:t>
      </w:r>
      <w:r w:rsidR="0014324C" w:rsidRPr="00684198">
        <w:rPr>
          <w:lang w:val="en-US"/>
        </w:rPr>
        <w:t>majority of social democratic justices</w:t>
      </w:r>
      <w:r w:rsidR="0014324C">
        <w:rPr>
          <w:lang w:val="en-US"/>
        </w:rPr>
        <w:t>, and a panel majority of female justices.</w:t>
      </w:r>
    </w:p>
    <w:p w14:paraId="3F653C05" w14:textId="77777777" w:rsidR="00F73407" w:rsidRDefault="00F73407" w:rsidP="0063473A">
      <w:pPr>
        <w:rPr>
          <w:lang w:val="en-US"/>
        </w:rPr>
      </w:pPr>
    </w:p>
    <w:p w14:paraId="375F5535" w14:textId="1B1A12A9" w:rsidR="0063473A" w:rsidRPr="007F26AF" w:rsidRDefault="007F26AF" w:rsidP="0063473A">
      <w:pPr>
        <w:rPr>
          <w:lang w:val="en-US"/>
        </w:rPr>
      </w:pPr>
      <w:r w:rsidRPr="007F26AF">
        <w:rPr>
          <w:lang w:val="en-US"/>
        </w:rPr>
        <w:lastRenderedPageBreak/>
        <w:t xml:space="preserve">From Model </w:t>
      </w:r>
      <w:r>
        <w:rPr>
          <w:lang w:val="en-US"/>
        </w:rPr>
        <w:t>J+P</w:t>
      </w:r>
      <w:r w:rsidRPr="007F26AF">
        <w:rPr>
          <w:lang w:val="en-US"/>
        </w:rPr>
        <w:t xml:space="preserve"> we carry over to Model </w:t>
      </w:r>
      <w:r>
        <w:rPr>
          <w:lang w:val="en-US"/>
        </w:rPr>
        <w:t>J+P+C</w:t>
      </w:r>
      <w:r w:rsidRPr="007F26AF">
        <w:rPr>
          <w:lang w:val="en-US"/>
        </w:rPr>
        <w:t xml:space="preserve"> the five significant justice</w:t>
      </w:r>
      <w:r w:rsidR="008329B8">
        <w:rPr>
          <w:lang w:val="en-US"/>
        </w:rPr>
        <w:t>-</w:t>
      </w:r>
      <w:r w:rsidRPr="007F26AF">
        <w:rPr>
          <w:lang w:val="en-US"/>
        </w:rPr>
        <w:t>level variables and the two significant panel</w:t>
      </w:r>
      <w:r w:rsidR="008329B8">
        <w:rPr>
          <w:lang w:val="en-US"/>
        </w:rPr>
        <w:t>-</w:t>
      </w:r>
      <w:r w:rsidRPr="007F26AF">
        <w:rPr>
          <w:lang w:val="en-US"/>
        </w:rPr>
        <w:t>level variables.</w:t>
      </w:r>
      <w:r w:rsidR="0063473A">
        <w:rPr>
          <w:lang w:val="en-US"/>
        </w:rPr>
        <w:t xml:space="preserve"> </w:t>
      </w:r>
    </w:p>
    <w:p w14:paraId="5F54B6A8" w14:textId="77777777" w:rsidR="007F26AF" w:rsidRPr="007F26AF" w:rsidRDefault="007F26AF" w:rsidP="007F26AF">
      <w:pPr>
        <w:rPr>
          <w:lang w:val="en-US"/>
        </w:rPr>
      </w:pPr>
    </w:p>
    <w:p w14:paraId="4FF03428" w14:textId="77777777" w:rsidR="007F26AF" w:rsidRPr="007F26AF" w:rsidRDefault="007F26AF" w:rsidP="00345E6C">
      <w:pPr>
        <w:pStyle w:val="Overskrift2"/>
        <w:rPr>
          <w:lang w:val="en-US"/>
        </w:rPr>
      </w:pPr>
      <w:bookmarkStart w:id="9" w:name="_Toc375248480"/>
      <w:r w:rsidRPr="007F26AF">
        <w:rPr>
          <w:lang w:val="en-US"/>
        </w:rPr>
        <w:t>Model J+P+C. Justices, Panels and Case</w:t>
      </w:r>
      <w:bookmarkEnd w:id="9"/>
    </w:p>
    <w:p w14:paraId="29BC71DF" w14:textId="77777777" w:rsidR="00F73407" w:rsidRDefault="00F73407" w:rsidP="007F26AF">
      <w:pPr>
        <w:rPr>
          <w:lang w:val="en-US"/>
        </w:rPr>
      </w:pPr>
    </w:p>
    <w:p w14:paraId="4D0DB64D" w14:textId="38D1213F" w:rsidR="007F26AF" w:rsidRPr="007F26AF" w:rsidRDefault="007F26AF" w:rsidP="007F26AF">
      <w:pPr>
        <w:rPr>
          <w:lang w:val="en-US"/>
        </w:rPr>
      </w:pPr>
      <w:r w:rsidRPr="007F26AF">
        <w:rPr>
          <w:lang w:val="en-US"/>
        </w:rPr>
        <w:t xml:space="preserve">In model </w:t>
      </w:r>
      <w:r>
        <w:rPr>
          <w:lang w:val="en-US"/>
        </w:rPr>
        <w:t xml:space="preserve">J+P+C </w:t>
      </w:r>
      <w:r w:rsidRPr="007F26AF">
        <w:rPr>
          <w:lang w:val="en-US"/>
        </w:rPr>
        <w:t>we retain the seven selected variables from the justice and panel</w:t>
      </w:r>
      <w:r w:rsidR="008329B8">
        <w:rPr>
          <w:lang w:val="en-US"/>
        </w:rPr>
        <w:t>-</w:t>
      </w:r>
      <w:r w:rsidRPr="007F26AF">
        <w:rPr>
          <w:lang w:val="en-US"/>
        </w:rPr>
        <w:t xml:space="preserve">level models and enter seven case variables (see Table </w:t>
      </w:r>
      <w:r>
        <w:rPr>
          <w:lang w:val="en-US"/>
        </w:rPr>
        <w:t>A1</w:t>
      </w:r>
      <w:r w:rsidRPr="007F26AF">
        <w:rPr>
          <w:lang w:val="en-US"/>
        </w:rPr>
        <w:t>). Both the AIC test statistics and the intraclass correlation tell us that the case</w:t>
      </w:r>
      <w:r w:rsidR="008329B8">
        <w:rPr>
          <w:lang w:val="en-US"/>
        </w:rPr>
        <w:t>-</w:t>
      </w:r>
      <w:r w:rsidRPr="007F26AF">
        <w:rPr>
          <w:lang w:val="en-US"/>
        </w:rPr>
        <w:t>level variables contribute to the model</w:t>
      </w:r>
      <w:r w:rsidR="008329B8">
        <w:rPr>
          <w:lang w:val="en-US"/>
        </w:rPr>
        <w:t>’</w:t>
      </w:r>
      <w:r w:rsidRPr="007F26AF">
        <w:rPr>
          <w:lang w:val="en-US"/>
        </w:rPr>
        <w:t xml:space="preserve">s explanatory power. The AIC estimate has decreased compared to all the former models and the intraclass correlation have </w:t>
      </w:r>
      <w:r w:rsidR="008329B8">
        <w:rPr>
          <w:lang w:val="en-US"/>
        </w:rPr>
        <w:t>dropped</w:t>
      </w:r>
      <w:r w:rsidR="008329B8" w:rsidRPr="007F26AF">
        <w:rPr>
          <w:lang w:val="en-US"/>
        </w:rPr>
        <w:t xml:space="preserve"> </w:t>
      </w:r>
      <w:r w:rsidRPr="007F26AF">
        <w:rPr>
          <w:lang w:val="en-US"/>
        </w:rPr>
        <w:t xml:space="preserve">to .912. Compared model </w:t>
      </w:r>
      <w:r w:rsidR="009A3F99">
        <w:rPr>
          <w:lang w:val="en-US"/>
        </w:rPr>
        <w:t>J+P</w:t>
      </w:r>
      <w:r w:rsidRPr="007F26AF">
        <w:rPr>
          <w:lang w:val="en-US"/>
        </w:rPr>
        <w:t xml:space="preserve">, model </w:t>
      </w:r>
      <w:r w:rsidR="009A3F99">
        <w:rPr>
          <w:lang w:val="en-US"/>
        </w:rPr>
        <w:t>J+P+C</w:t>
      </w:r>
      <w:r w:rsidRPr="007F26AF">
        <w:rPr>
          <w:lang w:val="en-US"/>
        </w:rPr>
        <w:t xml:space="preserve"> tells us that the case</w:t>
      </w:r>
      <w:r w:rsidR="008329B8">
        <w:rPr>
          <w:lang w:val="en-US"/>
        </w:rPr>
        <w:t>-</w:t>
      </w:r>
      <w:r w:rsidRPr="007F26AF">
        <w:rPr>
          <w:lang w:val="en-US"/>
        </w:rPr>
        <w:t xml:space="preserve">level variables have a bigger impact on the </w:t>
      </w:r>
      <w:r w:rsidR="008329B8" w:rsidRPr="007F26AF">
        <w:rPr>
          <w:lang w:val="en-US"/>
        </w:rPr>
        <w:t>justices</w:t>
      </w:r>
      <w:r w:rsidR="008329B8">
        <w:rPr>
          <w:lang w:val="en-US"/>
        </w:rPr>
        <w:t xml:space="preserve">’ </w:t>
      </w:r>
      <w:r w:rsidRPr="007F26AF">
        <w:rPr>
          <w:lang w:val="en-US"/>
        </w:rPr>
        <w:t>votes in economic cases than do panel</w:t>
      </w:r>
      <w:r w:rsidR="008329B8">
        <w:rPr>
          <w:lang w:val="en-US"/>
        </w:rPr>
        <w:t>-</w:t>
      </w:r>
      <w:r w:rsidRPr="007F26AF">
        <w:rPr>
          <w:lang w:val="en-US"/>
        </w:rPr>
        <w:t xml:space="preserve">level variables. </w:t>
      </w:r>
    </w:p>
    <w:p w14:paraId="3D693AA0" w14:textId="77777777" w:rsidR="00F73407" w:rsidRDefault="00F73407" w:rsidP="007F26AF">
      <w:pPr>
        <w:rPr>
          <w:lang w:val="en-US"/>
        </w:rPr>
      </w:pPr>
    </w:p>
    <w:p w14:paraId="221784A9" w14:textId="5A9A461E" w:rsidR="007F26AF" w:rsidRPr="007F26AF" w:rsidRDefault="007F26AF" w:rsidP="007F26AF">
      <w:pPr>
        <w:rPr>
          <w:lang w:val="en-US"/>
        </w:rPr>
      </w:pPr>
      <w:r w:rsidRPr="007F26AF">
        <w:rPr>
          <w:lang w:val="en-US"/>
        </w:rPr>
        <w:t>We address the three types of variables in turn. First, on the justice</w:t>
      </w:r>
      <w:r w:rsidR="008329B8">
        <w:rPr>
          <w:lang w:val="en-US"/>
        </w:rPr>
        <w:t>-</w:t>
      </w:r>
      <w:r w:rsidRPr="007F26AF">
        <w:rPr>
          <w:lang w:val="en-US"/>
        </w:rPr>
        <w:t xml:space="preserve">level variables, </w:t>
      </w:r>
      <w:r w:rsidR="00D43C5C">
        <w:rPr>
          <w:lang w:val="en-US"/>
        </w:rPr>
        <w:t xml:space="preserve">social-democratic </w:t>
      </w:r>
      <w:r w:rsidRPr="007F26AF">
        <w:rPr>
          <w:i/>
          <w:lang w:val="en-US"/>
        </w:rPr>
        <w:t>government appointment</w:t>
      </w:r>
      <w:r w:rsidRPr="007F26AF">
        <w:rPr>
          <w:lang w:val="en-US"/>
        </w:rPr>
        <w:t xml:space="preserve"> (p</w:t>
      </w:r>
      <w:r w:rsidR="008329B8">
        <w:rPr>
          <w:lang w:val="en-US"/>
        </w:rPr>
        <w:t xml:space="preserve"> </w:t>
      </w:r>
      <w:r w:rsidRPr="007F26AF">
        <w:rPr>
          <w:lang w:val="en-US"/>
        </w:rPr>
        <w:t>&lt;</w:t>
      </w:r>
      <w:r w:rsidR="008329B8">
        <w:rPr>
          <w:lang w:val="en-US"/>
        </w:rPr>
        <w:t xml:space="preserve"> </w:t>
      </w:r>
      <w:r w:rsidRPr="007F26AF">
        <w:rPr>
          <w:lang w:val="en-US"/>
        </w:rPr>
        <w:t xml:space="preserve">.01) and former employment </w:t>
      </w:r>
      <w:r w:rsidR="008329B8">
        <w:rPr>
          <w:lang w:val="en-US"/>
        </w:rPr>
        <w:t xml:space="preserve">at the </w:t>
      </w:r>
      <w:r w:rsidRPr="007F26AF">
        <w:rPr>
          <w:i/>
          <w:lang w:val="en-US"/>
        </w:rPr>
        <w:t>Director General of Public Prosecutions</w:t>
      </w:r>
      <w:r w:rsidRPr="007F26AF">
        <w:rPr>
          <w:lang w:val="en-US"/>
        </w:rPr>
        <w:t xml:space="preserve"> (p</w:t>
      </w:r>
      <w:r w:rsidR="008329B8">
        <w:rPr>
          <w:lang w:val="en-US"/>
        </w:rPr>
        <w:t xml:space="preserve"> </w:t>
      </w:r>
      <w:r w:rsidRPr="007F26AF">
        <w:rPr>
          <w:lang w:val="en-US"/>
        </w:rPr>
        <w:t>&lt;</w:t>
      </w:r>
      <w:r w:rsidR="008329B8">
        <w:rPr>
          <w:lang w:val="en-US"/>
        </w:rPr>
        <w:t xml:space="preserve"> </w:t>
      </w:r>
      <w:r w:rsidRPr="007F26AF">
        <w:rPr>
          <w:lang w:val="en-US"/>
        </w:rPr>
        <w:t>.06) increases</w:t>
      </w:r>
      <w:r w:rsidR="008329B8">
        <w:rPr>
          <w:lang w:val="en-US"/>
        </w:rPr>
        <w:t xml:space="preserve"> </w:t>
      </w:r>
      <w:r w:rsidRPr="007F26AF">
        <w:rPr>
          <w:lang w:val="en-US"/>
        </w:rPr>
        <w:t xml:space="preserve">the probability of </w:t>
      </w:r>
      <w:r w:rsidR="008329B8">
        <w:rPr>
          <w:lang w:val="en-US"/>
        </w:rPr>
        <w:t>a</w:t>
      </w:r>
      <w:r w:rsidR="008329B8" w:rsidRPr="007F26AF">
        <w:rPr>
          <w:lang w:val="en-US"/>
        </w:rPr>
        <w:t xml:space="preserve"> </w:t>
      </w:r>
      <w:r w:rsidRPr="007F26AF">
        <w:rPr>
          <w:lang w:val="en-US"/>
        </w:rPr>
        <w:t>justice vot</w:t>
      </w:r>
      <w:r w:rsidR="008329B8">
        <w:rPr>
          <w:lang w:val="en-US"/>
        </w:rPr>
        <w:t>ing</w:t>
      </w:r>
      <w:r w:rsidRPr="007F26AF">
        <w:rPr>
          <w:lang w:val="en-US"/>
        </w:rPr>
        <w:t xml:space="preserve"> for the public party. </w:t>
      </w:r>
      <w:r w:rsidRPr="007F26AF">
        <w:rPr>
          <w:i/>
          <w:lang w:val="en-US"/>
        </w:rPr>
        <w:t>Law professors</w:t>
      </w:r>
      <w:r w:rsidRPr="007F26AF">
        <w:rPr>
          <w:lang w:val="en-US"/>
        </w:rPr>
        <w:t xml:space="preserve"> (p</w:t>
      </w:r>
      <w:r w:rsidR="008329B8">
        <w:rPr>
          <w:lang w:val="en-US"/>
        </w:rPr>
        <w:t xml:space="preserve"> </w:t>
      </w:r>
      <w:r w:rsidRPr="007F26AF">
        <w:rPr>
          <w:lang w:val="en-US"/>
        </w:rPr>
        <w:t>&lt;</w:t>
      </w:r>
      <w:r w:rsidR="008329B8">
        <w:rPr>
          <w:lang w:val="en-US"/>
        </w:rPr>
        <w:t xml:space="preserve"> </w:t>
      </w:r>
      <w:r w:rsidRPr="007F26AF">
        <w:rPr>
          <w:lang w:val="en-US"/>
        </w:rPr>
        <w:t xml:space="preserve">.01) and </w:t>
      </w:r>
      <w:r w:rsidRPr="007F26AF">
        <w:rPr>
          <w:i/>
          <w:lang w:val="en-US"/>
        </w:rPr>
        <w:t>seniority</w:t>
      </w:r>
      <w:r w:rsidRPr="007F26AF">
        <w:rPr>
          <w:lang w:val="en-US"/>
        </w:rPr>
        <w:t xml:space="preserve"> (p</w:t>
      </w:r>
      <w:r w:rsidR="008329B8">
        <w:rPr>
          <w:lang w:val="en-US"/>
        </w:rPr>
        <w:t xml:space="preserve"> </w:t>
      </w:r>
      <w:r w:rsidRPr="007F26AF">
        <w:rPr>
          <w:lang w:val="en-US"/>
        </w:rPr>
        <w:t>&lt;</w:t>
      </w:r>
      <w:r w:rsidR="008329B8">
        <w:rPr>
          <w:lang w:val="en-US"/>
        </w:rPr>
        <w:t xml:space="preserve"> </w:t>
      </w:r>
      <w:r w:rsidRPr="007F26AF">
        <w:rPr>
          <w:lang w:val="en-US"/>
        </w:rPr>
        <w:t xml:space="preserve">.07) decrease the probability of voting for the public party. </w:t>
      </w:r>
      <w:r w:rsidRPr="007F26AF">
        <w:rPr>
          <w:i/>
          <w:lang w:val="en-US"/>
        </w:rPr>
        <w:t>Chief</w:t>
      </w:r>
      <w:r w:rsidRPr="007F26AF">
        <w:rPr>
          <w:lang w:val="en-US"/>
        </w:rPr>
        <w:t xml:space="preserve"> no longer </w:t>
      </w:r>
      <w:r w:rsidR="008329B8">
        <w:rPr>
          <w:lang w:val="en-US"/>
        </w:rPr>
        <w:t xml:space="preserve">makes </w:t>
      </w:r>
      <w:r w:rsidRPr="007F26AF">
        <w:rPr>
          <w:lang w:val="en-US"/>
        </w:rPr>
        <w:t>a statistically significant contribution on the results (p</w:t>
      </w:r>
      <w:r w:rsidR="008329B8">
        <w:rPr>
          <w:lang w:val="en-US"/>
        </w:rPr>
        <w:t xml:space="preserve"> </w:t>
      </w:r>
      <w:r w:rsidRPr="007F26AF">
        <w:rPr>
          <w:lang w:val="en-US"/>
        </w:rPr>
        <w:t>&lt;</w:t>
      </w:r>
      <w:r w:rsidR="008329B8">
        <w:rPr>
          <w:lang w:val="en-US"/>
        </w:rPr>
        <w:t xml:space="preserve"> </w:t>
      </w:r>
      <w:r w:rsidRPr="007F26AF">
        <w:rPr>
          <w:lang w:val="en-US"/>
        </w:rPr>
        <w:t>.12).</w:t>
      </w:r>
    </w:p>
    <w:p w14:paraId="08FAD1F6" w14:textId="77777777" w:rsidR="00F73407" w:rsidRDefault="00F73407" w:rsidP="007F26AF">
      <w:pPr>
        <w:rPr>
          <w:lang w:val="en-US"/>
        </w:rPr>
      </w:pPr>
    </w:p>
    <w:p w14:paraId="7B491551" w14:textId="63FD5F48" w:rsidR="007F26AF" w:rsidRPr="007F26AF" w:rsidRDefault="007F26AF" w:rsidP="007F26AF">
      <w:pPr>
        <w:rPr>
          <w:lang w:val="en-US"/>
        </w:rPr>
      </w:pPr>
      <w:r w:rsidRPr="007F26AF">
        <w:rPr>
          <w:lang w:val="en-US"/>
        </w:rPr>
        <w:t>Second, both panel</w:t>
      </w:r>
      <w:r w:rsidR="008329B8">
        <w:rPr>
          <w:lang w:val="en-US"/>
        </w:rPr>
        <w:t>-</w:t>
      </w:r>
      <w:r w:rsidRPr="007F26AF">
        <w:rPr>
          <w:lang w:val="en-US"/>
        </w:rPr>
        <w:t xml:space="preserve">level variables retain their effects: a </w:t>
      </w:r>
      <w:r w:rsidRPr="007F26AF">
        <w:rPr>
          <w:i/>
          <w:lang w:val="en-US"/>
        </w:rPr>
        <w:t>majority of female justices</w:t>
      </w:r>
      <w:r w:rsidRPr="007F26AF">
        <w:rPr>
          <w:lang w:val="en-US"/>
        </w:rPr>
        <w:t xml:space="preserve"> on the panel decreases the probability of voting for the public party (p</w:t>
      </w:r>
      <w:r w:rsidR="008329B8">
        <w:rPr>
          <w:lang w:val="en-US"/>
        </w:rPr>
        <w:t xml:space="preserve"> </w:t>
      </w:r>
      <w:r w:rsidRPr="007F26AF">
        <w:rPr>
          <w:lang w:val="en-US"/>
        </w:rPr>
        <w:t>&lt;</w:t>
      </w:r>
      <w:r w:rsidR="008329B8">
        <w:rPr>
          <w:lang w:val="en-US"/>
        </w:rPr>
        <w:t xml:space="preserve"> </w:t>
      </w:r>
      <w:r w:rsidRPr="007F26AF">
        <w:rPr>
          <w:lang w:val="en-US"/>
        </w:rPr>
        <w:t xml:space="preserve">.03), and a </w:t>
      </w:r>
      <w:r w:rsidRPr="007F26AF">
        <w:rPr>
          <w:i/>
          <w:lang w:val="en-US"/>
        </w:rPr>
        <w:t>majority of</w:t>
      </w:r>
      <w:r w:rsidRPr="007F26AF">
        <w:rPr>
          <w:lang w:val="en-US"/>
        </w:rPr>
        <w:t xml:space="preserve"> </w:t>
      </w:r>
      <w:r w:rsidR="00D43C5C" w:rsidRPr="00D43C5C">
        <w:rPr>
          <w:i/>
          <w:lang w:val="en-US"/>
        </w:rPr>
        <w:t>social-democratic</w:t>
      </w:r>
      <w:r w:rsidR="00D43C5C">
        <w:rPr>
          <w:lang w:val="en-US"/>
        </w:rPr>
        <w:t xml:space="preserve"> </w:t>
      </w:r>
      <w:r w:rsidRPr="007F26AF">
        <w:rPr>
          <w:i/>
          <w:lang w:val="en-US"/>
        </w:rPr>
        <w:t>appointed justices</w:t>
      </w:r>
      <w:r w:rsidRPr="007F26AF">
        <w:rPr>
          <w:lang w:val="en-US"/>
        </w:rPr>
        <w:t xml:space="preserve"> on the panel increases the probability of voting for the public party (p</w:t>
      </w:r>
      <w:r w:rsidR="008329B8">
        <w:rPr>
          <w:lang w:val="en-US"/>
        </w:rPr>
        <w:t xml:space="preserve"> </w:t>
      </w:r>
      <w:r w:rsidRPr="007F26AF">
        <w:rPr>
          <w:lang w:val="en-US"/>
        </w:rPr>
        <w:t>&lt;</w:t>
      </w:r>
      <w:r w:rsidR="008329B8">
        <w:rPr>
          <w:lang w:val="en-US"/>
        </w:rPr>
        <w:t xml:space="preserve"> </w:t>
      </w:r>
      <w:r w:rsidRPr="007F26AF">
        <w:rPr>
          <w:lang w:val="en-US"/>
        </w:rPr>
        <w:t>.09).</w:t>
      </w:r>
    </w:p>
    <w:p w14:paraId="195588EF" w14:textId="77777777" w:rsidR="00F73407" w:rsidRDefault="00F73407" w:rsidP="007F26AF">
      <w:pPr>
        <w:rPr>
          <w:lang w:val="en-US"/>
        </w:rPr>
      </w:pPr>
    </w:p>
    <w:p w14:paraId="3DC3C108" w14:textId="3AED9B1A" w:rsidR="007F26AF" w:rsidRPr="007F26AF" w:rsidRDefault="007F26AF" w:rsidP="007F26AF">
      <w:pPr>
        <w:rPr>
          <w:lang w:val="en-US"/>
        </w:rPr>
      </w:pPr>
      <w:r w:rsidRPr="007F26AF">
        <w:rPr>
          <w:lang w:val="en-US"/>
        </w:rPr>
        <w:t>Third, two case</w:t>
      </w:r>
      <w:r w:rsidR="008329B8">
        <w:rPr>
          <w:lang w:val="en-US"/>
        </w:rPr>
        <w:t>-</w:t>
      </w:r>
      <w:r w:rsidRPr="007F26AF">
        <w:rPr>
          <w:lang w:val="en-US"/>
        </w:rPr>
        <w:t xml:space="preserve">level variables are deemed significant. First, when the public party is the </w:t>
      </w:r>
      <w:r w:rsidRPr="007F26AF">
        <w:rPr>
          <w:i/>
          <w:lang w:val="en-US"/>
        </w:rPr>
        <w:t>plaintiff</w:t>
      </w:r>
      <w:r w:rsidRPr="007F26AF">
        <w:rPr>
          <w:lang w:val="en-US"/>
        </w:rPr>
        <w:t>, the probability of voting for the private party increases (p</w:t>
      </w:r>
      <w:r w:rsidR="008329B8">
        <w:rPr>
          <w:lang w:val="en-US"/>
        </w:rPr>
        <w:t xml:space="preserve"> </w:t>
      </w:r>
      <w:r w:rsidRPr="007F26AF">
        <w:rPr>
          <w:lang w:val="en-US"/>
        </w:rPr>
        <w:t>&lt;</w:t>
      </w:r>
      <w:r w:rsidR="008329B8">
        <w:rPr>
          <w:lang w:val="en-US"/>
        </w:rPr>
        <w:t xml:space="preserve"> </w:t>
      </w:r>
      <w:r w:rsidRPr="007F26AF">
        <w:rPr>
          <w:lang w:val="en-US"/>
        </w:rPr>
        <w:t xml:space="preserve">.001). Second, when the court’s decision is </w:t>
      </w:r>
      <w:r w:rsidRPr="007F26AF">
        <w:rPr>
          <w:i/>
          <w:lang w:val="en-US"/>
        </w:rPr>
        <w:t>nonunanimous</w:t>
      </w:r>
      <w:r w:rsidRPr="007F26AF">
        <w:rPr>
          <w:lang w:val="en-US"/>
        </w:rPr>
        <w:t>, there is a greater probability that the justices will vote in favor of the private party (p</w:t>
      </w:r>
      <w:r w:rsidR="008329B8">
        <w:rPr>
          <w:lang w:val="en-US"/>
        </w:rPr>
        <w:t xml:space="preserve"> </w:t>
      </w:r>
      <w:r w:rsidRPr="007F26AF">
        <w:rPr>
          <w:lang w:val="en-US"/>
        </w:rPr>
        <w:t>&lt;</w:t>
      </w:r>
      <w:r w:rsidR="008329B8">
        <w:rPr>
          <w:lang w:val="en-US"/>
        </w:rPr>
        <w:t xml:space="preserve"> </w:t>
      </w:r>
      <w:r w:rsidRPr="007F26AF">
        <w:rPr>
          <w:lang w:val="en-US"/>
        </w:rPr>
        <w:t xml:space="preserve">.07). We saw above that the overall results of Supreme Court decisions on economic cases favored the public party </w:t>
      </w:r>
      <w:r w:rsidR="008329B8">
        <w:rPr>
          <w:lang w:val="en-US"/>
        </w:rPr>
        <w:t>in</w:t>
      </w:r>
      <w:r w:rsidR="008329B8" w:rsidRPr="007F26AF">
        <w:rPr>
          <w:lang w:val="en-US"/>
        </w:rPr>
        <w:t xml:space="preserve"> </w:t>
      </w:r>
      <w:r w:rsidRPr="007F26AF">
        <w:rPr>
          <w:lang w:val="en-US"/>
        </w:rPr>
        <w:t xml:space="preserve">59 percent of the votes (and that the upward bias in the multilevel model favored the public party </w:t>
      </w:r>
      <w:r w:rsidR="008329B8">
        <w:rPr>
          <w:lang w:val="en-US"/>
        </w:rPr>
        <w:t>in</w:t>
      </w:r>
      <w:r w:rsidR="008329B8" w:rsidRPr="007F26AF">
        <w:rPr>
          <w:lang w:val="en-US"/>
        </w:rPr>
        <w:t xml:space="preserve"> </w:t>
      </w:r>
      <w:r w:rsidRPr="007F26AF">
        <w:rPr>
          <w:lang w:val="en-US"/>
        </w:rPr>
        <w:t xml:space="preserve">83 percent of the votes), the </w:t>
      </w:r>
      <w:r w:rsidRPr="007F26AF">
        <w:rPr>
          <w:lang w:val="en-US"/>
        </w:rPr>
        <w:lastRenderedPageBreak/>
        <w:t xml:space="preserve">significant </w:t>
      </w:r>
      <w:r w:rsidR="008329B8">
        <w:rPr>
          <w:lang w:val="en-US"/>
        </w:rPr>
        <w:t xml:space="preserve">effect </w:t>
      </w:r>
      <w:r w:rsidRPr="007F26AF">
        <w:rPr>
          <w:lang w:val="en-US"/>
        </w:rPr>
        <w:t>of the dissent variable at the case</w:t>
      </w:r>
      <w:r w:rsidR="008329B8">
        <w:rPr>
          <w:lang w:val="en-US"/>
        </w:rPr>
        <w:t>-</w:t>
      </w:r>
      <w:r w:rsidRPr="007F26AF">
        <w:rPr>
          <w:lang w:val="en-US"/>
        </w:rPr>
        <w:t>level may speak to the predisposition of the justices and their difficulty in voting for the private party.</w:t>
      </w:r>
    </w:p>
    <w:p w14:paraId="01730601" w14:textId="77777777" w:rsidR="00F73407" w:rsidRDefault="00F73407" w:rsidP="007F26AF">
      <w:pPr>
        <w:rPr>
          <w:lang w:val="en-US"/>
        </w:rPr>
      </w:pPr>
    </w:p>
    <w:p w14:paraId="19D12C72" w14:textId="48640A76" w:rsidR="007F26AF" w:rsidRPr="007F26AF" w:rsidRDefault="007F26AF" w:rsidP="007F26AF">
      <w:pPr>
        <w:rPr>
          <w:lang w:val="en-US"/>
        </w:rPr>
      </w:pPr>
      <w:r w:rsidRPr="007F26AF">
        <w:rPr>
          <w:lang w:val="en-US"/>
        </w:rPr>
        <w:t>We included three variables at the case</w:t>
      </w:r>
      <w:r w:rsidR="008329B8">
        <w:rPr>
          <w:lang w:val="en-US"/>
        </w:rPr>
        <w:t>-</w:t>
      </w:r>
      <w:r w:rsidRPr="007F26AF">
        <w:rPr>
          <w:lang w:val="en-US"/>
        </w:rPr>
        <w:t xml:space="preserve">level that were intended to measure </w:t>
      </w:r>
      <w:r w:rsidR="008329B8">
        <w:rPr>
          <w:lang w:val="en-US"/>
        </w:rPr>
        <w:t xml:space="preserve">the </w:t>
      </w:r>
      <w:r w:rsidRPr="007F26AF">
        <w:rPr>
          <w:lang w:val="en-US"/>
        </w:rPr>
        <w:t>complexity of a case: the total number of words in the majority’s opinion, the number of parties to a case, and the number of justices that voice</w:t>
      </w:r>
      <w:r w:rsidR="008329B8">
        <w:rPr>
          <w:lang w:val="en-US"/>
        </w:rPr>
        <w:t>d</w:t>
      </w:r>
      <w:r w:rsidRPr="007F26AF">
        <w:rPr>
          <w:lang w:val="en-US"/>
        </w:rPr>
        <w:t xml:space="preserve"> opinion on the </w:t>
      </w:r>
      <w:r w:rsidR="008329B8">
        <w:rPr>
          <w:lang w:val="en-US"/>
        </w:rPr>
        <w:t>C</w:t>
      </w:r>
      <w:r w:rsidRPr="007F26AF">
        <w:rPr>
          <w:lang w:val="en-US"/>
        </w:rPr>
        <w:t>ourt’s decision. But the results show that none of these measures affects the direction of the justices’ votes.</w:t>
      </w:r>
    </w:p>
    <w:p w14:paraId="34BA0B49" w14:textId="77777777" w:rsidR="00F73407" w:rsidRDefault="00F73407" w:rsidP="007F26AF">
      <w:pPr>
        <w:rPr>
          <w:lang w:val="en-US"/>
        </w:rPr>
      </w:pPr>
    </w:p>
    <w:p w14:paraId="08A2D168" w14:textId="60382E7A" w:rsidR="007F26AF" w:rsidRDefault="007F26AF" w:rsidP="007F26AF">
      <w:pPr>
        <w:rPr>
          <w:lang w:val="en-US"/>
        </w:rPr>
      </w:pPr>
      <w:r w:rsidRPr="007F26AF">
        <w:rPr>
          <w:lang w:val="en-US"/>
        </w:rPr>
        <w:t xml:space="preserve">We also included two dummy variables that address </w:t>
      </w:r>
      <w:r w:rsidR="008329B8">
        <w:rPr>
          <w:lang w:val="en-US"/>
        </w:rPr>
        <w:t>the salience</w:t>
      </w:r>
      <w:r w:rsidRPr="007F26AF">
        <w:rPr>
          <w:lang w:val="en-US"/>
        </w:rPr>
        <w:t xml:space="preserve"> of the economic issue </w:t>
      </w:r>
      <w:r w:rsidR="008329B8">
        <w:rPr>
          <w:lang w:val="en-US"/>
        </w:rPr>
        <w:t>in</w:t>
      </w:r>
      <w:r w:rsidR="008329B8" w:rsidRPr="007F26AF">
        <w:rPr>
          <w:lang w:val="en-US"/>
        </w:rPr>
        <w:t xml:space="preserve"> </w:t>
      </w:r>
      <w:r w:rsidRPr="007F26AF">
        <w:rPr>
          <w:lang w:val="en-US"/>
        </w:rPr>
        <w:t xml:space="preserve">the case before the justices (low economic relevance was the omitted variable). </w:t>
      </w:r>
      <w:r w:rsidR="005C43E4">
        <w:rPr>
          <w:lang w:val="en-US"/>
        </w:rPr>
        <w:t>Neither</w:t>
      </w:r>
      <w:r w:rsidR="005C43E4" w:rsidRPr="007F26AF">
        <w:rPr>
          <w:lang w:val="en-US"/>
        </w:rPr>
        <w:t xml:space="preserve"> </w:t>
      </w:r>
      <w:r w:rsidRPr="007F26AF">
        <w:rPr>
          <w:lang w:val="en-US"/>
        </w:rPr>
        <w:t xml:space="preserve">of the </w:t>
      </w:r>
      <w:r w:rsidR="005C43E4" w:rsidRPr="007F26AF">
        <w:rPr>
          <w:lang w:val="en-US"/>
        </w:rPr>
        <w:t>variables</w:t>
      </w:r>
      <w:r w:rsidRPr="007F26AF">
        <w:rPr>
          <w:lang w:val="en-US"/>
        </w:rPr>
        <w:t xml:space="preserve"> </w:t>
      </w:r>
      <w:r w:rsidR="005C43E4">
        <w:rPr>
          <w:lang w:val="en-US"/>
        </w:rPr>
        <w:t>tapping</w:t>
      </w:r>
      <w:r w:rsidR="005C43E4" w:rsidRPr="007F26AF">
        <w:rPr>
          <w:lang w:val="en-US"/>
        </w:rPr>
        <w:t xml:space="preserve"> </w:t>
      </w:r>
      <w:r w:rsidRPr="007F26AF">
        <w:rPr>
          <w:lang w:val="en-US"/>
        </w:rPr>
        <w:t>economic relevance exhibit</w:t>
      </w:r>
      <w:r w:rsidR="005C43E4">
        <w:rPr>
          <w:lang w:val="en-US"/>
        </w:rPr>
        <w:t>s</w:t>
      </w:r>
      <w:r w:rsidRPr="007F26AF">
        <w:rPr>
          <w:lang w:val="en-US"/>
        </w:rPr>
        <w:t xml:space="preserve"> statistical significance. This result speak</w:t>
      </w:r>
      <w:r w:rsidR="0014324C">
        <w:rPr>
          <w:lang w:val="en-US"/>
        </w:rPr>
        <w:t>s</w:t>
      </w:r>
      <w:r w:rsidRPr="007F26AF">
        <w:rPr>
          <w:lang w:val="en-US"/>
        </w:rPr>
        <w:t xml:space="preserve"> to the validity of the economic definition that we applied for sample selection, and to the fact that the justices do not alter their voting behavior depending on how much </w:t>
      </w:r>
      <w:r w:rsidR="005C43E4">
        <w:rPr>
          <w:lang w:val="en-US"/>
        </w:rPr>
        <w:t xml:space="preserve">the issue of the </w:t>
      </w:r>
      <w:r w:rsidRPr="007F26AF">
        <w:rPr>
          <w:lang w:val="en-US"/>
        </w:rPr>
        <w:t>economy is at stake between the public and private parties.</w:t>
      </w:r>
    </w:p>
    <w:p w14:paraId="604FCED4" w14:textId="77777777" w:rsidR="00F73407" w:rsidRDefault="00F73407" w:rsidP="007F26AF">
      <w:pPr>
        <w:rPr>
          <w:lang w:val="en-US"/>
        </w:rPr>
      </w:pPr>
    </w:p>
    <w:p w14:paraId="69483AE6" w14:textId="285F90C5" w:rsidR="0015554E" w:rsidRPr="007F26AF" w:rsidRDefault="0015554E" w:rsidP="007F26AF">
      <w:pPr>
        <w:rPr>
          <w:lang w:val="en-US"/>
        </w:rPr>
      </w:pPr>
      <w:r>
        <w:rPr>
          <w:lang w:val="en-US"/>
        </w:rPr>
        <w:t xml:space="preserve">Finally, </w:t>
      </w:r>
      <w:r w:rsidR="00A73197">
        <w:rPr>
          <w:lang w:val="en-US"/>
        </w:rPr>
        <w:t>from</w:t>
      </w:r>
      <w:r>
        <w:rPr>
          <w:lang w:val="en-US"/>
        </w:rPr>
        <w:t xml:space="preserve"> </w:t>
      </w:r>
      <w:r w:rsidRPr="007F26AF">
        <w:rPr>
          <w:lang w:val="en-US"/>
        </w:rPr>
        <w:t xml:space="preserve">Model </w:t>
      </w:r>
      <w:r>
        <w:rPr>
          <w:lang w:val="en-US"/>
        </w:rPr>
        <w:t>J+P+C</w:t>
      </w:r>
      <w:r w:rsidRPr="007F26AF">
        <w:rPr>
          <w:lang w:val="en-US"/>
        </w:rPr>
        <w:t xml:space="preserve"> </w:t>
      </w:r>
      <w:r w:rsidRPr="00C2240D">
        <w:rPr>
          <w:bCs/>
          <w:lang w:val="en-US"/>
        </w:rPr>
        <w:t xml:space="preserve">we </w:t>
      </w:r>
      <w:r>
        <w:rPr>
          <w:bCs/>
          <w:lang w:val="en-US"/>
        </w:rPr>
        <w:t xml:space="preserve">leave behind </w:t>
      </w:r>
      <w:r w:rsidRPr="00C2240D">
        <w:rPr>
          <w:bCs/>
          <w:lang w:val="en-US"/>
        </w:rPr>
        <w:t>the five case level variables that failed to reach acceptable levels of significance.</w:t>
      </w:r>
    </w:p>
    <w:p w14:paraId="13088BA2" w14:textId="77777777" w:rsidR="007F26AF" w:rsidRDefault="007F26AF" w:rsidP="00C71F1F">
      <w:pPr>
        <w:rPr>
          <w:lang w:val="en-US"/>
        </w:rPr>
      </w:pPr>
    </w:p>
    <w:p w14:paraId="49E185EA" w14:textId="77777777" w:rsidR="00D7097D" w:rsidRDefault="00D7097D">
      <w:pPr>
        <w:rPr>
          <w:lang w:val="en-US"/>
        </w:rPr>
      </w:pPr>
      <w:r>
        <w:rPr>
          <w:lang w:val="en-US"/>
        </w:rPr>
        <w:br w:type="page"/>
      </w:r>
    </w:p>
    <w:p w14:paraId="6BDB4775" w14:textId="77777777" w:rsidR="00D7097D" w:rsidRPr="007D36D9" w:rsidRDefault="00D7097D" w:rsidP="00D7097D">
      <w:pPr>
        <w:rPr>
          <w:rStyle w:val="Sterk"/>
          <w:lang w:val="en-US"/>
        </w:rPr>
      </w:pPr>
      <w:bookmarkStart w:id="10" w:name="_Toc375248487"/>
      <w:r w:rsidRPr="007D36D9">
        <w:rPr>
          <w:rStyle w:val="Sterk"/>
          <w:lang w:val="en-US"/>
        </w:rPr>
        <w:lastRenderedPageBreak/>
        <w:t xml:space="preserve">Table A1: </w:t>
      </w:r>
      <w:r w:rsidR="00CC52D3" w:rsidRPr="007D36D9">
        <w:rPr>
          <w:rStyle w:val="Sterk"/>
          <w:lang w:val="en-US"/>
        </w:rPr>
        <w:t>Three intermediate j</w:t>
      </w:r>
      <w:r w:rsidRPr="007D36D9">
        <w:rPr>
          <w:rStyle w:val="Sterk"/>
          <w:lang w:val="en-US"/>
        </w:rPr>
        <w:t>ustice</w:t>
      </w:r>
      <w:r w:rsidR="000C3E9E" w:rsidRPr="007D36D9">
        <w:rPr>
          <w:rStyle w:val="Sterk"/>
          <w:lang w:val="en-US"/>
        </w:rPr>
        <w:t xml:space="preserve"> (J)</w:t>
      </w:r>
      <w:r w:rsidRPr="007D36D9">
        <w:rPr>
          <w:rStyle w:val="Sterk"/>
          <w:lang w:val="en-US"/>
        </w:rPr>
        <w:t xml:space="preserve">, panel </w:t>
      </w:r>
      <w:r w:rsidR="000C3E9E" w:rsidRPr="007D36D9">
        <w:rPr>
          <w:rStyle w:val="Sterk"/>
          <w:lang w:val="en-US"/>
        </w:rPr>
        <w:t xml:space="preserve">(P) </w:t>
      </w:r>
      <w:r w:rsidRPr="007D36D9">
        <w:rPr>
          <w:rStyle w:val="Sterk"/>
          <w:lang w:val="en-US"/>
        </w:rPr>
        <w:t xml:space="preserve">and case </w:t>
      </w:r>
      <w:r w:rsidR="000C3E9E" w:rsidRPr="007D36D9">
        <w:rPr>
          <w:rStyle w:val="Sterk"/>
          <w:lang w:val="en-US"/>
        </w:rPr>
        <w:t xml:space="preserve">(C) </w:t>
      </w:r>
      <w:r w:rsidRPr="007D36D9">
        <w:rPr>
          <w:rStyle w:val="Sterk"/>
          <w:lang w:val="en-US"/>
        </w:rPr>
        <w:t>models of economic voting on the Supreme Court</w:t>
      </w:r>
      <w:bookmarkEnd w:id="10"/>
      <w:r w:rsidR="00CC52D3" w:rsidRPr="007D36D9">
        <w:rPr>
          <w:rStyle w:val="Sterk"/>
          <w:lang w:val="en-US"/>
        </w:rPr>
        <w:t xml:space="preserve"> 1963-2012</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97"/>
        <w:gridCol w:w="673"/>
        <w:gridCol w:w="735"/>
        <w:gridCol w:w="809"/>
        <w:gridCol w:w="809"/>
        <w:gridCol w:w="735"/>
        <w:gridCol w:w="601"/>
        <w:gridCol w:w="871"/>
        <w:gridCol w:w="735"/>
        <w:gridCol w:w="809"/>
      </w:tblGrid>
      <w:tr w:rsidR="000C3E9E" w:rsidRPr="00FE7ADB" w14:paraId="56FA8B99" w14:textId="77777777" w:rsidTr="000D14C2">
        <w:trPr>
          <w:trHeight w:hRule="exact" w:val="284"/>
        </w:trPr>
        <w:tc>
          <w:tcPr>
            <w:tcW w:w="0" w:type="auto"/>
            <w:tcBorders>
              <w:top w:val="single" w:sz="4" w:space="0" w:color="auto"/>
              <w:left w:val="nil"/>
              <w:bottom w:val="single" w:sz="4" w:space="0" w:color="auto"/>
              <w:right w:val="nil"/>
            </w:tcBorders>
            <w:vAlign w:val="center"/>
          </w:tcPr>
          <w:p w14:paraId="56515175" w14:textId="77777777" w:rsidR="000C3E9E" w:rsidRPr="00FE7ADB" w:rsidRDefault="000C3E9E" w:rsidP="00251D19">
            <w:pPr>
              <w:widowControl w:val="0"/>
              <w:autoSpaceDE w:val="0"/>
              <w:autoSpaceDN w:val="0"/>
              <w:adjustRightInd w:val="0"/>
              <w:spacing w:line="240" w:lineRule="auto"/>
              <w:jc w:val="center"/>
              <w:rPr>
                <w:rFonts w:ascii="Arial" w:hAnsi="Arial" w:cs="Arial"/>
                <w:b/>
                <w:color w:val="000000" w:themeColor="text1"/>
                <w:sz w:val="16"/>
                <w:szCs w:val="16"/>
                <w:lang w:val="en-US" w:eastAsia="en-US"/>
              </w:rPr>
            </w:pPr>
          </w:p>
        </w:tc>
        <w:tc>
          <w:tcPr>
            <w:tcW w:w="0" w:type="auto"/>
            <w:gridSpan w:val="3"/>
            <w:tcBorders>
              <w:top w:val="single" w:sz="4" w:space="0" w:color="auto"/>
              <w:left w:val="nil"/>
              <w:bottom w:val="nil"/>
              <w:right w:val="nil"/>
            </w:tcBorders>
            <w:vAlign w:val="center"/>
            <w:hideMark/>
          </w:tcPr>
          <w:p w14:paraId="08AEDC62" w14:textId="77777777" w:rsidR="000C3E9E" w:rsidRPr="00FE7ADB" w:rsidRDefault="000C3E9E" w:rsidP="00251D19">
            <w:pPr>
              <w:widowControl w:val="0"/>
              <w:autoSpaceDE w:val="0"/>
              <w:autoSpaceDN w:val="0"/>
              <w:adjustRightInd w:val="0"/>
              <w:spacing w:line="240" w:lineRule="auto"/>
              <w:jc w:val="center"/>
              <w:rPr>
                <w:rFonts w:ascii="Arial" w:hAnsi="Arial" w:cs="Arial"/>
                <w:b/>
                <w:color w:val="000000" w:themeColor="text1"/>
                <w:sz w:val="16"/>
                <w:szCs w:val="16"/>
                <w:lang w:val="en-US" w:eastAsia="en-US"/>
              </w:rPr>
            </w:pPr>
            <w:r w:rsidRPr="00FE7ADB">
              <w:rPr>
                <w:rFonts w:ascii="Arial" w:hAnsi="Arial" w:cs="Arial"/>
                <w:b/>
                <w:sz w:val="16"/>
                <w:szCs w:val="16"/>
              </w:rPr>
              <w:t>Model J</w:t>
            </w:r>
          </w:p>
        </w:tc>
        <w:tc>
          <w:tcPr>
            <w:tcW w:w="0" w:type="auto"/>
            <w:gridSpan w:val="3"/>
            <w:tcBorders>
              <w:top w:val="single" w:sz="4" w:space="0" w:color="auto"/>
              <w:left w:val="nil"/>
              <w:bottom w:val="nil"/>
              <w:right w:val="nil"/>
            </w:tcBorders>
            <w:vAlign w:val="center"/>
            <w:hideMark/>
          </w:tcPr>
          <w:p w14:paraId="37495E24" w14:textId="77777777" w:rsidR="000C3E9E" w:rsidRPr="00FE7ADB" w:rsidRDefault="000C3E9E" w:rsidP="00251D19">
            <w:pPr>
              <w:widowControl w:val="0"/>
              <w:autoSpaceDE w:val="0"/>
              <w:autoSpaceDN w:val="0"/>
              <w:adjustRightInd w:val="0"/>
              <w:spacing w:line="240" w:lineRule="auto"/>
              <w:jc w:val="center"/>
              <w:rPr>
                <w:rFonts w:ascii="Arial" w:hAnsi="Arial" w:cs="Arial"/>
                <w:b/>
                <w:color w:val="000000" w:themeColor="text1"/>
                <w:sz w:val="16"/>
                <w:szCs w:val="16"/>
                <w:lang w:val="en-US" w:eastAsia="en-US"/>
              </w:rPr>
            </w:pPr>
            <w:r w:rsidRPr="00FE7ADB">
              <w:rPr>
                <w:rFonts w:ascii="Arial" w:hAnsi="Arial" w:cs="Arial"/>
                <w:b/>
                <w:sz w:val="16"/>
                <w:szCs w:val="16"/>
              </w:rPr>
              <w:t>Model J+P</w:t>
            </w:r>
          </w:p>
        </w:tc>
        <w:tc>
          <w:tcPr>
            <w:tcW w:w="0" w:type="auto"/>
            <w:gridSpan w:val="3"/>
            <w:tcBorders>
              <w:top w:val="single" w:sz="4" w:space="0" w:color="auto"/>
              <w:left w:val="nil"/>
              <w:bottom w:val="nil"/>
              <w:right w:val="nil"/>
            </w:tcBorders>
            <w:vAlign w:val="center"/>
            <w:hideMark/>
          </w:tcPr>
          <w:p w14:paraId="14AD49F2" w14:textId="77777777" w:rsidR="000C3E9E" w:rsidRPr="00FE7ADB" w:rsidRDefault="000C3E9E" w:rsidP="00251D19">
            <w:pPr>
              <w:widowControl w:val="0"/>
              <w:autoSpaceDE w:val="0"/>
              <w:autoSpaceDN w:val="0"/>
              <w:adjustRightInd w:val="0"/>
              <w:spacing w:line="240" w:lineRule="auto"/>
              <w:jc w:val="center"/>
              <w:rPr>
                <w:rFonts w:ascii="Arial" w:hAnsi="Arial" w:cs="Arial"/>
                <w:b/>
                <w:color w:val="000000" w:themeColor="text1"/>
                <w:sz w:val="16"/>
                <w:szCs w:val="16"/>
                <w:lang w:val="en-US" w:eastAsia="en-US"/>
              </w:rPr>
            </w:pPr>
            <w:r w:rsidRPr="00FE7ADB">
              <w:rPr>
                <w:rFonts w:ascii="Arial" w:hAnsi="Arial" w:cs="Arial"/>
                <w:b/>
                <w:sz w:val="16"/>
                <w:szCs w:val="16"/>
              </w:rPr>
              <w:t>Model J+P+C</w:t>
            </w:r>
          </w:p>
        </w:tc>
      </w:tr>
      <w:tr w:rsidR="00251D19" w:rsidRPr="000D14C2" w14:paraId="7A5E3535" w14:textId="77777777" w:rsidTr="000D14C2">
        <w:trPr>
          <w:trHeight w:hRule="exact" w:val="284"/>
        </w:trPr>
        <w:tc>
          <w:tcPr>
            <w:tcW w:w="0" w:type="auto"/>
            <w:tcBorders>
              <w:top w:val="single" w:sz="4" w:space="0" w:color="auto"/>
              <w:left w:val="nil"/>
              <w:bottom w:val="single" w:sz="4" w:space="0" w:color="auto"/>
              <w:right w:val="nil"/>
            </w:tcBorders>
            <w:vAlign w:val="center"/>
            <w:hideMark/>
          </w:tcPr>
          <w:p w14:paraId="64CA5FBF" w14:textId="77777777" w:rsidR="000C3E9E" w:rsidRPr="000D14C2" w:rsidRDefault="000C3E9E" w:rsidP="00CC52D3">
            <w:pPr>
              <w:widowControl w:val="0"/>
              <w:autoSpaceDE w:val="0"/>
              <w:autoSpaceDN w:val="0"/>
              <w:adjustRightInd w:val="0"/>
              <w:spacing w:line="240" w:lineRule="auto"/>
              <w:jc w:val="both"/>
              <w:rPr>
                <w:rFonts w:ascii="Arial" w:hAnsi="Arial" w:cs="Arial"/>
                <w:b/>
                <w:color w:val="000000" w:themeColor="text1"/>
                <w:sz w:val="16"/>
                <w:szCs w:val="16"/>
                <w:lang w:val="en-US" w:eastAsia="en-US"/>
              </w:rPr>
            </w:pPr>
            <w:r w:rsidRPr="000D14C2">
              <w:rPr>
                <w:rFonts w:ascii="Arial" w:hAnsi="Arial" w:cs="Arial"/>
                <w:b/>
                <w:sz w:val="16"/>
                <w:szCs w:val="16"/>
              </w:rPr>
              <w:t>Fixed effects</w:t>
            </w:r>
          </w:p>
        </w:tc>
        <w:tc>
          <w:tcPr>
            <w:tcW w:w="0" w:type="auto"/>
            <w:tcBorders>
              <w:top w:val="nil"/>
              <w:left w:val="nil"/>
              <w:bottom w:val="nil"/>
              <w:right w:val="nil"/>
            </w:tcBorders>
            <w:vAlign w:val="center"/>
            <w:hideMark/>
          </w:tcPr>
          <w:p w14:paraId="42C80332" w14:textId="77777777" w:rsidR="000C3E9E" w:rsidRPr="000D14C2" w:rsidRDefault="000C3E9E" w:rsidP="00CC52D3">
            <w:pPr>
              <w:widowControl w:val="0"/>
              <w:autoSpaceDE w:val="0"/>
              <w:autoSpaceDN w:val="0"/>
              <w:adjustRightInd w:val="0"/>
              <w:spacing w:line="240" w:lineRule="auto"/>
              <w:jc w:val="both"/>
              <w:rPr>
                <w:rFonts w:ascii="Arial" w:hAnsi="Arial" w:cs="Arial"/>
                <w:b/>
                <w:color w:val="000000" w:themeColor="text1"/>
                <w:sz w:val="16"/>
                <w:szCs w:val="16"/>
                <w:lang w:val="en-US" w:eastAsia="en-US"/>
              </w:rPr>
            </w:pPr>
            <w:r w:rsidRPr="000D14C2">
              <w:rPr>
                <w:rFonts w:ascii="Arial" w:hAnsi="Arial" w:cs="Arial"/>
                <w:b/>
                <w:sz w:val="16"/>
                <w:szCs w:val="16"/>
              </w:rPr>
              <w:t>B</w:t>
            </w:r>
          </w:p>
        </w:tc>
        <w:tc>
          <w:tcPr>
            <w:tcW w:w="0" w:type="auto"/>
            <w:tcBorders>
              <w:top w:val="nil"/>
              <w:left w:val="nil"/>
              <w:bottom w:val="nil"/>
              <w:right w:val="nil"/>
            </w:tcBorders>
            <w:vAlign w:val="center"/>
            <w:hideMark/>
          </w:tcPr>
          <w:p w14:paraId="0E2F62B8" w14:textId="77777777" w:rsidR="000C3E9E" w:rsidRPr="000D14C2" w:rsidRDefault="000C3E9E" w:rsidP="00AB37AF">
            <w:pPr>
              <w:widowControl w:val="0"/>
              <w:autoSpaceDE w:val="0"/>
              <w:autoSpaceDN w:val="0"/>
              <w:adjustRightInd w:val="0"/>
              <w:spacing w:line="240" w:lineRule="auto"/>
              <w:jc w:val="both"/>
              <w:rPr>
                <w:rFonts w:ascii="Arial" w:hAnsi="Arial" w:cs="Arial"/>
                <w:b/>
                <w:color w:val="000000" w:themeColor="text1"/>
                <w:sz w:val="16"/>
                <w:szCs w:val="16"/>
                <w:lang w:val="en-US" w:eastAsia="en-US"/>
              </w:rPr>
            </w:pPr>
            <w:r w:rsidRPr="000D14C2">
              <w:rPr>
                <w:rFonts w:ascii="Arial" w:hAnsi="Arial" w:cs="Arial"/>
                <w:b/>
                <w:sz w:val="16"/>
                <w:szCs w:val="16"/>
              </w:rPr>
              <w:t>Std.</w:t>
            </w:r>
            <w:r w:rsidR="00AB37AF">
              <w:rPr>
                <w:rFonts w:ascii="Arial" w:hAnsi="Arial" w:cs="Arial"/>
                <w:b/>
                <w:sz w:val="16"/>
                <w:szCs w:val="16"/>
              </w:rPr>
              <w:t>err</w:t>
            </w:r>
          </w:p>
        </w:tc>
        <w:tc>
          <w:tcPr>
            <w:tcW w:w="0" w:type="auto"/>
            <w:tcBorders>
              <w:top w:val="nil"/>
              <w:left w:val="nil"/>
              <w:bottom w:val="nil"/>
              <w:right w:val="nil"/>
            </w:tcBorders>
            <w:vAlign w:val="center"/>
            <w:hideMark/>
          </w:tcPr>
          <w:p w14:paraId="4AEAE03F" w14:textId="77777777" w:rsidR="000C3E9E" w:rsidRPr="000D14C2" w:rsidRDefault="000C3E9E" w:rsidP="00CC52D3">
            <w:pPr>
              <w:widowControl w:val="0"/>
              <w:autoSpaceDE w:val="0"/>
              <w:autoSpaceDN w:val="0"/>
              <w:adjustRightInd w:val="0"/>
              <w:spacing w:line="240" w:lineRule="auto"/>
              <w:jc w:val="both"/>
              <w:rPr>
                <w:rFonts w:ascii="Arial" w:hAnsi="Arial" w:cs="Arial"/>
                <w:b/>
                <w:color w:val="000000" w:themeColor="text1"/>
                <w:sz w:val="16"/>
                <w:szCs w:val="16"/>
                <w:lang w:val="en-US" w:eastAsia="en-US"/>
              </w:rPr>
            </w:pPr>
            <w:r w:rsidRPr="000D14C2">
              <w:rPr>
                <w:rFonts w:ascii="Arial" w:hAnsi="Arial" w:cs="Arial"/>
                <w:b/>
                <w:sz w:val="16"/>
                <w:szCs w:val="16"/>
              </w:rPr>
              <w:t>P</w:t>
            </w:r>
          </w:p>
        </w:tc>
        <w:tc>
          <w:tcPr>
            <w:tcW w:w="0" w:type="auto"/>
            <w:tcBorders>
              <w:top w:val="nil"/>
              <w:left w:val="nil"/>
              <w:bottom w:val="nil"/>
              <w:right w:val="nil"/>
            </w:tcBorders>
            <w:vAlign w:val="center"/>
            <w:hideMark/>
          </w:tcPr>
          <w:p w14:paraId="2FA99B97" w14:textId="77777777" w:rsidR="000C3E9E" w:rsidRPr="000D14C2" w:rsidRDefault="000C3E9E" w:rsidP="00CC52D3">
            <w:pPr>
              <w:widowControl w:val="0"/>
              <w:autoSpaceDE w:val="0"/>
              <w:autoSpaceDN w:val="0"/>
              <w:adjustRightInd w:val="0"/>
              <w:spacing w:line="240" w:lineRule="auto"/>
              <w:jc w:val="both"/>
              <w:rPr>
                <w:rFonts w:ascii="Arial" w:hAnsi="Arial" w:cs="Arial"/>
                <w:b/>
                <w:color w:val="000000" w:themeColor="text1"/>
                <w:sz w:val="16"/>
                <w:szCs w:val="16"/>
                <w:lang w:val="en-US" w:eastAsia="en-US"/>
              </w:rPr>
            </w:pPr>
            <w:r w:rsidRPr="000D14C2">
              <w:rPr>
                <w:rFonts w:ascii="Arial" w:hAnsi="Arial" w:cs="Arial"/>
                <w:b/>
                <w:sz w:val="16"/>
                <w:szCs w:val="16"/>
              </w:rPr>
              <w:t>B</w:t>
            </w:r>
          </w:p>
        </w:tc>
        <w:tc>
          <w:tcPr>
            <w:tcW w:w="0" w:type="auto"/>
            <w:tcBorders>
              <w:top w:val="nil"/>
              <w:left w:val="nil"/>
              <w:bottom w:val="nil"/>
              <w:right w:val="nil"/>
            </w:tcBorders>
            <w:vAlign w:val="center"/>
            <w:hideMark/>
          </w:tcPr>
          <w:p w14:paraId="18C2CD5E" w14:textId="77777777" w:rsidR="000C3E9E" w:rsidRPr="000D14C2" w:rsidRDefault="000C3E9E" w:rsidP="00AB37AF">
            <w:pPr>
              <w:widowControl w:val="0"/>
              <w:autoSpaceDE w:val="0"/>
              <w:autoSpaceDN w:val="0"/>
              <w:adjustRightInd w:val="0"/>
              <w:spacing w:line="240" w:lineRule="auto"/>
              <w:jc w:val="both"/>
              <w:rPr>
                <w:rFonts w:ascii="Arial" w:hAnsi="Arial" w:cs="Arial"/>
                <w:b/>
                <w:color w:val="000000" w:themeColor="text1"/>
                <w:sz w:val="16"/>
                <w:szCs w:val="16"/>
                <w:lang w:val="en-US" w:eastAsia="en-US"/>
              </w:rPr>
            </w:pPr>
            <w:r w:rsidRPr="000D14C2">
              <w:rPr>
                <w:rFonts w:ascii="Arial" w:hAnsi="Arial" w:cs="Arial"/>
                <w:b/>
                <w:sz w:val="16"/>
                <w:szCs w:val="16"/>
              </w:rPr>
              <w:t>Std.</w:t>
            </w:r>
            <w:r w:rsidR="00AB37AF">
              <w:rPr>
                <w:rFonts w:ascii="Arial" w:hAnsi="Arial" w:cs="Arial"/>
                <w:b/>
                <w:sz w:val="16"/>
                <w:szCs w:val="16"/>
              </w:rPr>
              <w:t>err</w:t>
            </w:r>
          </w:p>
        </w:tc>
        <w:tc>
          <w:tcPr>
            <w:tcW w:w="0" w:type="auto"/>
            <w:tcBorders>
              <w:top w:val="nil"/>
              <w:left w:val="nil"/>
              <w:bottom w:val="nil"/>
              <w:right w:val="nil"/>
            </w:tcBorders>
            <w:vAlign w:val="center"/>
            <w:hideMark/>
          </w:tcPr>
          <w:p w14:paraId="044D5D01" w14:textId="77777777" w:rsidR="000C3E9E" w:rsidRPr="000D14C2" w:rsidRDefault="000C3E9E" w:rsidP="00CC52D3">
            <w:pPr>
              <w:widowControl w:val="0"/>
              <w:autoSpaceDE w:val="0"/>
              <w:autoSpaceDN w:val="0"/>
              <w:adjustRightInd w:val="0"/>
              <w:spacing w:line="240" w:lineRule="auto"/>
              <w:jc w:val="both"/>
              <w:rPr>
                <w:rFonts w:ascii="Arial" w:hAnsi="Arial" w:cs="Arial"/>
                <w:b/>
                <w:color w:val="000000" w:themeColor="text1"/>
                <w:sz w:val="16"/>
                <w:szCs w:val="16"/>
                <w:lang w:val="en-US" w:eastAsia="en-US"/>
              </w:rPr>
            </w:pPr>
            <w:r w:rsidRPr="000D14C2">
              <w:rPr>
                <w:rFonts w:ascii="Arial" w:hAnsi="Arial" w:cs="Arial"/>
                <w:b/>
                <w:sz w:val="16"/>
                <w:szCs w:val="16"/>
              </w:rPr>
              <w:t>P</w:t>
            </w:r>
          </w:p>
        </w:tc>
        <w:tc>
          <w:tcPr>
            <w:tcW w:w="0" w:type="auto"/>
            <w:tcBorders>
              <w:top w:val="nil"/>
              <w:left w:val="nil"/>
              <w:bottom w:val="nil"/>
              <w:right w:val="nil"/>
            </w:tcBorders>
            <w:vAlign w:val="center"/>
            <w:hideMark/>
          </w:tcPr>
          <w:p w14:paraId="26F59847" w14:textId="77777777" w:rsidR="000C3E9E" w:rsidRPr="000D14C2" w:rsidRDefault="000C3E9E" w:rsidP="00CC52D3">
            <w:pPr>
              <w:widowControl w:val="0"/>
              <w:autoSpaceDE w:val="0"/>
              <w:autoSpaceDN w:val="0"/>
              <w:adjustRightInd w:val="0"/>
              <w:spacing w:line="240" w:lineRule="auto"/>
              <w:jc w:val="both"/>
              <w:rPr>
                <w:rFonts w:ascii="Arial" w:hAnsi="Arial" w:cs="Arial"/>
                <w:b/>
                <w:color w:val="000000" w:themeColor="text1"/>
                <w:sz w:val="16"/>
                <w:szCs w:val="16"/>
                <w:lang w:val="en-US" w:eastAsia="en-US"/>
              </w:rPr>
            </w:pPr>
            <w:r w:rsidRPr="000D14C2">
              <w:rPr>
                <w:rFonts w:ascii="Arial" w:hAnsi="Arial" w:cs="Arial"/>
                <w:b/>
                <w:sz w:val="16"/>
                <w:szCs w:val="16"/>
              </w:rPr>
              <w:t>B.</w:t>
            </w:r>
          </w:p>
        </w:tc>
        <w:tc>
          <w:tcPr>
            <w:tcW w:w="0" w:type="auto"/>
            <w:tcBorders>
              <w:top w:val="nil"/>
              <w:left w:val="nil"/>
              <w:bottom w:val="nil"/>
              <w:right w:val="nil"/>
            </w:tcBorders>
            <w:vAlign w:val="center"/>
            <w:hideMark/>
          </w:tcPr>
          <w:p w14:paraId="36DF9603" w14:textId="77777777" w:rsidR="000C3E9E" w:rsidRPr="000D14C2" w:rsidRDefault="000C3E9E" w:rsidP="00AB37AF">
            <w:pPr>
              <w:widowControl w:val="0"/>
              <w:autoSpaceDE w:val="0"/>
              <w:autoSpaceDN w:val="0"/>
              <w:adjustRightInd w:val="0"/>
              <w:spacing w:line="240" w:lineRule="auto"/>
              <w:jc w:val="both"/>
              <w:rPr>
                <w:rFonts w:ascii="Arial" w:hAnsi="Arial" w:cs="Arial"/>
                <w:b/>
                <w:color w:val="000000" w:themeColor="text1"/>
                <w:sz w:val="16"/>
                <w:szCs w:val="16"/>
                <w:lang w:val="en-US" w:eastAsia="en-US"/>
              </w:rPr>
            </w:pPr>
            <w:r w:rsidRPr="000D14C2">
              <w:rPr>
                <w:rFonts w:ascii="Arial" w:hAnsi="Arial" w:cs="Arial"/>
                <w:b/>
                <w:sz w:val="16"/>
                <w:szCs w:val="16"/>
              </w:rPr>
              <w:t>Std.</w:t>
            </w:r>
            <w:r w:rsidR="00AB37AF">
              <w:rPr>
                <w:rFonts w:ascii="Arial" w:hAnsi="Arial" w:cs="Arial"/>
                <w:b/>
                <w:sz w:val="16"/>
                <w:szCs w:val="16"/>
              </w:rPr>
              <w:t>err</w:t>
            </w:r>
          </w:p>
        </w:tc>
        <w:tc>
          <w:tcPr>
            <w:tcW w:w="0" w:type="auto"/>
            <w:tcBorders>
              <w:top w:val="nil"/>
              <w:left w:val="nil"/>
              <w:bottom w:val="nil"/>
              <w:right w:val="nil"/>
            </w:tcBorders>
            <w:vAlign w:val="center"/>
            <w:hideMark/>
          </w:tcPr>
          <w:p w14:paraId="3A8AD019" w14:textId="77777777" w:rsidR="000C3E9E" w:rsidRPr="000D14C2" w:rsidRDefault="000C3E9E" w:rsidP="00CC52D3">
            <w:pPr>
              <w:widowControl w:val="0"/>
              <w:autoSpaceDE w:val="0"/>
              <w:autoSpaceDN w:val="0"/>
              <w:adjustRightInd w:val="0"/>
              <w:spacing w:line="240" w:lineRule="auto"/>
              <w:jc w:val="both"/>
              <w:rPr>
                <w:rFonts w:ascii="Arial" w:hAnsi="Arial" w:cs="Arial"/>
                <w:b/>
                <w:color w:val="000000" w:themeColor="text1"/>
                <w:sz w:val="16"/>
                <w:szCs w:val="16"/>
                <w:lang w:val="en-US" w:eastAsia="en-US"/>
              </w:rPr>
            </w:pPr>
            <w:r w:rsidRPr="000D14C2">
              <w:rPr>
                <w:rFonts w:ascii="Arial" w:hAnsi="Arial" w:cs="Arial"/>
                <w:b/>
                <w:sz w:val="16"/>
                <w:szCs w:val="16"/>
              </w:rPr>
              <w:t>P</w:t>
            </w:r>
          </w:p>
        </w:tc>
      </w:tr>
      <w:tr w:rsidR="00251D19" w:rsidRPr="00FE7ADB" w14:paraId="11F309D1" w14:textId="77777777" w:rsidTr="000D14C2">
        <w:trPr>
          <w:trHeight w:hRule="exact" w:val="284"/>
        </w:trPr>
        <w:tc>
          <w:tcPr>
            <w:tcW w:w="0" w:type="auto"/>
            <w:tcBorders>
              <w:top w:val="single" w:sz="4" w:space="0" w:color="auto"/>
              <w:left w:val="nil"/>
              <w:bottom w:val="nil"/>
              <w:right w:val="nil"/>
            </w:tcBorders>
            <w:vAlign w:val="center"/>
            <w:hideMark/>
          </w:tcPr>
          <w:p w14:paraId="0B2C2233" w14:textId="77777777" w:rsidR="000C3E9E" w:rsidRPr="00FE7ADB" w:rsidRDefault="000C3E9E" w:rsidP="00CC52D3">
            <w:pPr>
              <w:widowControl w:val="0"/>
              <w:autoSpaceDE w:val="0"/>
              <w:autoSpaceDN w:val="0"/>
              <w:adjustRightInd w:val="0"/>
              <w:spacing w:line="240" w:lineRule="auto"/>
              <w:jc w:val="both"/>
              <w:rPr>
                <w:rFonts w:ascii="Arial" w:hAnsi="Arial" w:cs="Arial"/>
                <w:b/>
                <w:color w:val="000000" w:themeColor="text1"/>
                <w:sz w:val="16"/>
                <w:szCs w:val="16"/>
                <w:lang w:val="en-US" w:eastAsia="en-US"/>
              </w:rPr>
            </w:pPr>
            <w:r w:rsidRPr="00FE7ADB">
              <w:rPr>
                <w:rFonts w:ascii="Arial" w:hAnsi="Arial" w:cs="Arial"/>
                <w:b/>
                <w:sz w:val="16"/>
                <w:szCs w:val="16"/>
              </w:rPr>
              <w:t>Justice level:</w:t>
            </w:r>
          </w:p>
        </w:tc>
        <w:tc>
          <w:tcPr>
            <w:tcW w:w="0" w:type="auto"/>
            <w:tcBorders>
              <w:top w:val="nil"/>
              <w:left w:val="nil"/>
              <w:bottom w:val="nil"/>
              <w:right w:val="nil"/>
            </w:tcBorders>
            <w:vAlign w:val="center"/>
          </w:tcPr>
          <w:p w14:paraId="3728C064"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31698935"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38C177AB"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7118A48C"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596D8F5C"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5B21AA0A"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358537DF"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52BD319D"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3F253870"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r>
      <w:tr w:rsidR="00AB37AF" w:rsidRPr="00FE7ADB" w14:paraId="680B2ABD" w14:textId="77777777" w:rsidTr="000D14C2">
        <w:trPr>
          <w:trHeight w:hRule="exact" w:val="284"/>
        </w:trPr>
        <w:tc>
          <w:tcPr>
            <w:tcW w:w="0" w:type="auto"/>
            <w:tcBorders>
              <w:top w:val="nil"/>
              <w:left w:val="nil"/>
              <w:bottom w:val="nil"/>
              <w:right w:val="nil"/>
            </w:tcBorders>
            <w:shd w:val="clear" w:color="auto" w:fill="FFFFFF" w:themeFill="background1"/>
            <w:vAlign w:val="center"/>
            <w:hideMark/>
          </w:tcPr>
          <w:p w14:paraId="33CC4455" w14:textId="0281A2B1" w:rsidR="000C3E9E" w:rsidRPr="00FE7ADB" w:rsidRDefault="0052431E" w:rsidP="00CC52D3">
            <w:pPr>
              <w:widowControl w:val="0"/>
              <w:autoSpaceDE w:val="0"/>
              <w:autoSpaceDN w:val="0"/>
              <w:adjustRightInd w:val="0"/>
              <w:spacing w:line="240" w:lineRule="auto"/>
              <w:jc w:val="both"/>
              <w:rPr>
                <w:rFonts w:ascii="Arial" w:hAnsi="Arial" w:cs="Arial"/>
                <w:color w:val="000000" w:themeColor="text1"/>
                <w:sz w:val="16"/>
                <w:szCs w:val="16"/>
                <w:lang w:val="en-US" w:eastAsia="en-US"/>
              </w:rPr>
            </w:pPr>
            <w:r>
              <w:rPr>
                <w:rFonts w:ascii="Arial" w:hAnsi="Arial" w:cs="Arial"/>
                <w:sz w:val="16"/>
                <w:szCs w:val="16"/>
              </w:rPr>
              <w:t>SocDemGov appoint</w:t>
            </w:r>
          </w:p>
        </w:tc>
        <w:tc>
          <w:tcPr>
            <w:tcW w:w="0" w:type="auto"/>
            <w:tcBorders>
              <w:top w:val="nil"/>
              <w:left w:val="nil"/>
              <w:bottom w:val="nil"/>
              <w:right w:val="nil"/>
            </w:tcBorders>
            <w:shd w:val="clear" w:color="auto" w:fill="FFFFFF" w:themeFill="background1"/>
            <w:vAlign w:val="center"/>
            <w:hideMark/>
          </w:tcPr>
          <w:p w14:paraId="3E664D91"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.36**</w:t>
            </w:r>
          </w:p>
        </w:tc>
        <w:tc>
          <w:tcPr>
            <w:tcW w:w="0" w:type="auto"/>
            <w:tcBorders>
              <w:top w:val="nil"/>
              <w:left w:val="nil"/>
              <w:bottom w:val="nil"/>
              <w:right w:val="nil"/>
            </w:tcBorders>
            <w:shd w:val="clear" w:color="auto" w:fill="FFFFFF" w:themeFill="background1"/>
            <w:vAlign w:val="center"/>
            <w:hideMark/>
          </w:tcPr>
          <w:p w14:paraId="75BA8199"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.17</w:t>
            </w:r>
          </w:p>
        </w:tc>
        <w:tc>
          <w:tcPr>
            <w:tcW w:w="0" w:type="auto"/>
            <w:tcBorders>
              <w:top w:val="nil"/>
              <w:left w:val="nil"/>
              <w:bottom w:val="nil"/>
              <w:right w:val="nil"/>
            </w:tcBorders>
            <w:shd w:val="clear" w:color="auto" w:fill="FFFFFF" w:themeFill="background1"/>
            <w:vAlign w:val="center"/>
            <w:hideMark/>
          </w:tcPr>
          <w:p w14:paraId="0F0AC731"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0.037</w:t>
            </w:r>
          </w:p>
        </w:tc>
        <w:tc>
          <w:tcPr>
            <w:tcW w:w="0" w:type="auto"/>
            <w:tcBorders>
              <w:top w:val="nil"/>
              <w:left w:val="nil"/>
              <w:bottom w:val="nil"/>
              <w:right w:val="nil"/>
            </w:tcBorders>
            <w:shd w:val="clear" w:color="auto" w:fill="FFFFFF" w:themeFill="background1"/>
            <w:vAlign w:val="center"/>
            <w:hideMark/>
          </w:tcPr>
          <w:p w14:paraId="2B8858FA"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.33**</w:t>
            </w:r>
          </w:p>
        </w:tc>
        <w:tc>
          <w:tcPr>
            <w:tcW w:w="0" w:type="auto"/>
            <w:tcBorders>
              <w:top w:val="nil"/>
              <w:left w:val="nil"/>
              <w:bottom w:val="nil"/>
              <w:right w:val="nil"/>
            </w:tcBorders>
            <w:shd w:val="clear" w:color="auto" w:fill="FFFFFF" w:themeFill="background1"/>
            <w:vAlign w:val="center"/>
            <w:hideMark/>
          </w:tcPr>
          <w:p w14:paraId="28CA2ED0"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.1</w:t>
            </w:r>
            <w:r w:rsidR="00251D19">
              <w:rPr>
                <w:rFonts w:ascii="Arial" w:hAnsi="Arial" w:cs="Arial"/>
                <w:sz w:val="16"/>
                <w:szCs w:val="16"/>
              </w:rPr>
              <w:t>7</w:t>
            </w:r>
          </w:p>
        </w:tc>
        <w:tc>
          <w:tcPr>
            <w:tcW w:w="0" w:type="auto"/>
            <w:tcBorders>
              <w:top w:val="nil"/>
              <w:left w:val="nil"/>
              <w:bottom w:val="nil"/>
              <w:right w:val="nil"/>
            </w:tcBorders>
            <w:shd w:val="clear" w:color="auto" w:fill="FFFFFF" w:themeFill="background1"/>
            <w:vAlign w:val="center"/>
            <w:hideMark/>
          </w:tcPr>
          <w:p w14:paraId="6F7299AE"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0.049</w:t>
            </w:r>
          </w:p>
        </w:tc>
        <w:tc>
          <w:tcPr>
            <w:tcW w:w="0" w:type="auto"/>
            <w:tcBorders>
              <w:top w:val="nil"/>
              <w:left w:val="nil"/>
              <w:bottom w:val="nil"/>
              <w:right w:val="nil"/>
            </w:tcBorders>
            <w:shd w:val="clear" w:color="auto" w:fill="FFFFFF" w:themeFill="background1"/>
            <w:vAlign w:val="center"/>
            <w:hideMark/>
          </w:tcPr>
          <w:p w14:paraId="1A7EAA4A"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.44***</w:t>
            </w:r>
          </w:p>
        </w:tc>
        <w:tc>
          <w:tcPr>
            <w:tcW w:w="0" w:type="auto"/>
            <w:tcBorders>
              <w:top w:val="nil"/>
              <w:left w:val="nil"/>
              <w:bottom w:val="nil"/>
              <w:right w:val="nil"/>
            </w:tcBorders>
            <w:shd w:val="clear" w:color="auto" w:fill="FFFFFF" w:themeFill="background1"/>
            <w:vAlign w:val="center"/>
            <w:hideMark/>
          </w:tcPr>
          <w:p w14:paraId="085798F3"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.16</w:t>
            </w:r>
          </w:p>
        </w:tc>
        <w:tc>
          <w:tcPr>
            <w:tcW w:w="0" w:type="auto"/>
            <w:tcBorders>
              <w:top w:val="nil"/>
              <w:left w:val="nil"/>
              <w:bottom w:val="nil"/>
              <w:right w:val="nil"/>
            </w:tcBorders>
            <w:shd w:val="clear" w:color="auto" w:fill="FFFFFF" w:themeFill="background1"/>
            <w:vAlign w:val="center"/>
            <w:hideMark/>
          </w:tcPr>
          <w:p w14:paraId="2393615E"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0.005</w:t>
            </w:r>
          </w:p>
        </w:tc>
      </w:tr>
      <w:tr w:rsidR="00251D19" w:rsidRPr="00FE7ADB" w14:paraId="652AE3E1" w14:textId="77777777" w:rsidTr="000D14C2">
        <w:trPr>
          <w:trHeight w:hRule="exact" w:val="284"/>
        </w:trPr>
        <w:tc>
          <w:tcPr>
            <w:tcW w:w="0" w:type="auto"/>
            <w:tcBorders>
              <w:top w:val="nil"/>
              <w:left w:val="nil"/>
              <w:bottom w:val="nil"/>
              <w:right w:val="nil"/>
            </w:tcBorders>
            <w:vAlign w:val="center"/>
            <w:hideMark/>
          </w:tcPr>
          <w:p w14:paraId="0F737B77" w14:textId="6D1A8F89" w:rsidR="000C3E9E" w:rsidRPr="00FE7ADB" w:rsidRDefault="0052431E" w:rsidP="00CC52D3">
            <w:pPr>
              <w:widowControl w:val="0"/>
              <w:autoSpaceDE w:val="0"/>
              <w:autoSpaceDN w:val="0"/>
              <w:adjustRightInd w:val="0"/>
              <w:spacing w:line="240" w:lineRule="auto"/>
              <w:jc w:val="both"/>
              <w:rPr>
                <w:rFonts w:ascii="Arial" w:hAnsi="Arial" w:cs="Arial"/>
                <w:b/>
                <w:color w:val="000000" w:themeColor="text1"/>
                <w:sz w:val="16"/>
                <w:szCs w:val="16"/>
                <w:lang w:val="en-US" w:eastAsia="en-US"/>
              </w:rPr>
            </w:pPr>
            <w:r>
              <w:rPr>
                <w:rFonts w:ascii="Arial" w:hAnsi="Arial" w:cs="Arial"/>
                <w:sz w:val="16"/>
                <w:szCs w:val="16"/>
              </w:rPr>
              <w:t>Private practice</w:t>
            </w:r>
          </w:p>
        </w:tc>
        <w:tc>
          <w:tcPr>
            <w:tcW w:w="0" w:type="auto"/>
            <w:tcBorders>
              <w:top w:val="nil"/>
              <w:left w:val="nil"/>
              <w:bottom w:val="nil"/>
              <w:right w:val="nil"/>
            </w:tcBorders>
            <w:vAlign w:val="center"/>
            <w:hideMark/>
          </w:tcPr>
          <w:p w14:paraId="5C543FCC"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w:t>
            </w:r>
            <w:r w:rsidR="00251D19">
              <w:rPr>
                <w:rFonts w:ascii="Arial" w:hAnsi="Arial" w:cs="Arial"/>
                <w:sz w:val="16"/>
                <w:szCs w:val="16"/>
              </w:rPr>
              <w:t>2</w:t>
            </w:r>
          </w:p>
        </w:tc>
        <w:tc>
          <w:tcPr>
            <w:tcW w:w="0" w:type="auto"/>
            <w:tcBorders>
              <w:top w:val="nil"/>
              <w:left w:val="nil"/>
              <w:bottom w:val="nil"/>
              <w:right w:val="nil"/>
            </w:tcBorders>
            <w:vAlign w:val="center"/>
            <w:hideMark/>
          </w:tcPr>
          <w:p w14:paraId="27205E76"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.1</w:t>
            </w:r>
            <w:r w:rsidR="00251D19">
              <w:rPr>
                <w:rFonts w:ascii="Arial" w:hAnsi="Arial" w:cs="Arial"/>
                <w:sz w:val="16"/>
                <w:szCs w:val="16"/>
              </w:rPr>
              <w:t>9</w:t>
            </w:r>
          </w:p>
        </w:tc>
        <w:tc>
          <w:tcPr>
            <w:tcW w:w="0" w:type="auto"/>
            <w:tcBorders>
              <w:top w:val="nil"/>
              <w:left w:val="nil"/>
              <w:bottom w:val="nil"/>
              <w:right w:val="nil"/>
            </w:tcBorders>
            <w:vAlign w:val="center"/>
            <w:hideMark/>
          </w:tcPr>
          <w:p w14:paraId="1FD4972E"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0.938</w:t>
            </w:r>
          </w:p>
        </w:tc>
        <w:tc>
          <w:tcPr>
            <w:tcW w:w="0" w:type="auto"/>
            <w:tcBorders>
              <w:top w:val="nil"/>
              <w:left w:val="nil"/>
              <w:bottom w:val="nil"/>
              <w:right w:val="nil"/>
            </w:tcBorders>
            <w:vAlign w:val="center"/>
          </w:tcPr>
          <w:p w14:paraId="39B89009"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787A7851"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0D66AD78"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371999C1"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6C2C4DB0"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7AAD4B33"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r>
      <w:tr w:rsidR="00251D19" w:rsidRPr="00FE7ADB" w14:paraId="5D99BA38" w14:textId="77777777" w:rsidTr="000D14C2">
        <w:trPr>
          <w:trHeight w:hRule="exact" w:val="284"/>
        </w:trPr>
        <w:tc>
          <w:tcPr>
            <w:tcW w:w="0" w:type="auto"/>
            <w:tcBorders>
              <w:top w:val="nil"/>
              <w:left w:val="nil"/>
              <w:bottom w:val="nil"/>
              <w:right w:val="nil"/>
            </w:tcBorders>
            <w:vAlign w:val="center"/>
          </w:tcPr>
          <w:p w14:paraId="39750E6C" w14:textId="275778D1" w:rsidR="000C3E9E" w:rsidRPr="00FE7ADB" w:rsidRDefault="0052431E" w:rsidP="00CC52D3">
            <w:pPr>
              <w:widowControl w:val="0"/>
              <w:autoSpaceDE w:val="0"/>
              <w:autoSpaceDN w:val="0"/>
              <w:adjustRightInd w:val="0"/>
              <w:spacing w:line="240" w:lineRule="auto"/>
              <w:jc w:val="both"/>
              <w:rPr>
                <w:rFonts w:ascii="Arial" w:hAnsi="Arial" w:cs="Arial"/>
                <w:color w:val="000000" w:themeColor="text1"/>
                <w:sz w:val="16"/>
                <w:szCs w:val="16"/>
                <w:lang w:val="en-US" w:eastAsia="en-US"/>
              </w:rPr>
            </w:pPr>
            <w:r>
              <w:rPr>
                <w:rFonts w:ascii="Arial" w:hAnsi="Arial" w:cs="Arial"/>
                <w:sz w:val="16"/>
                <w:szCs w:val="16"/>
              </w:rPr>
              <w:t>Law Professor</w:t>
            </w:r>
          </w:p>
        </w:tc>
        <w:tc>
          <w:tcPr>
            <w:tcW w:w="0" w:type="auto"/>
            <w:tcBorders>
              <w:top w:val="nil"/>
              <w:left w:val="nil"/>
              <w:bottom w:val="nil"/>
              <w:right w:val="nil"/>
            </w:tcBorders>
            <w:vAlign w:val="center"/>
            <w:hideMark/>
          </w:tcPr>
          <w:p w14:paraId="5AB71D59"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-.9</w:t>
            </w:r>
            <w:r w:rsidR="00251D19">
              <w:rPr>
                <w:rFonts w:ascii="Arial" w:hAnsi="Arial" w:cs="Arial"/>
                <w:sz w:val="16"/>
                <w:szCs w:val="16"/>
              </w:rPr>
              <w:t>7</w:t>
            </w:r>
            <w:r w:rsidRPr="00FE7ADB">
              <w:rPr>
                <w:rFonts w:ascii="Arial" w:hAnsi="Arial" w:cs="Arial"/>
                <w:sz w:val="16"/>
                <w:szCs w:val="16"/>
              </w:rPr>
              <w:t>***</w:t>
            </w:r>
          </w:p>
        </w:tc>
        <w:tc>
          <w:tcPr>
            <w:tcW w:w="0" w:type="auto"/>
            <w:tcBorders>
              <w:top w:val="nil"/>
              <w:left w:val="nil"/>
              <w:bottom w:val="nil"/>
              <w:right w:val="nil"/>
            </w:tcBorders>
            <w:vAlign w:val="center"/>
            <w:hideMark/>
          </w:tcPr>
          <w:p w14:paraId="3DEDD08D"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.3</w:t>
            </w:r>
            <w:r w:rsidR="00251D19">
              <w:rPr>
                <w:rFonts w:ascii="Arial" w:hAnsi="Arial" w:cs="Arial"/>
                <w:sz w:val="16"/>
                <w:szCs w:val="16"/>
              </w:rPr>
              <w:t>5</w:t>
            </w:r>
          </w:p>
        </w:tc>
        <w:tc>
          <w:tcPr>
            <w:tcW w:w="0" w:type="auto"/>
            <w:tcBorders>
              <w:top w:val="nil"/>
              <w:left w:val="nil"/>
              <w:bottom w:val="nil"/>
              <w:right w:val="nil"/>
            </w:tcBorders>
            <w:vAlign w:val="center"/>
            <w:hideMark/>
          </w:tcPr>
          <w:p w14:paraId="6766764E"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0.005</w:t>
            </w:r>
          </w:p>
        </w:tc>
        <w:tc>
          <w:tcPr>
            <w:tcW w:w="0" w:type="auto"/>
            <w:tcBorders>
              <w:top w:val="nil"/>
              <w:left w:val="nil"/>
              <w:bottom w:val="nil"/>
              <w:right w:val="nil"/>
            </w:tcBorders>
            <w:vAlign w:val="center"/>
            <w:hideMark/>
          </w:tcPr>
          <w:p w14:paraId="60D57A4E"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-1.1</w:t>
            </w:r>
            <w:r w:rsidR="00251D19">
              <w:rPr>
                <w:rFonts w:ascii="Arial" w:hAnsi="Arial" w:cs="Arial"/>
                <w:sz w:val="16"/>
                <w:szCs w:val="16"/>
              </w:rPr>
              <w:t>1</w:t>
            </w:r>
            <w:r w:rsidRPr="00FE7ADB">
              <w:rPr>
                <w:rFonts w:ascii="Arial" w:hAnsi="Arial" w:cs="Arial"/>
                <w:sz w:val="16"/>
                <w:szCs w:val="16"/>
              </w:rPr>
              <w:t>***</w:t>
            </w:r>
          </w:p>
        </w:tc>
        <w:tc>
          <w:tcPr>
            <w:tcW w:w="0" w:type="auto"/>
            <w:tcBorders>
              <w:top w:val="nil"/>
              <w:left w:val="nil"/>
              <w:bottom w:val="nil"/>
              <w:right w:val="nil"/>
            </w:tcBorders>
            <w:vAlign w:val="center"/>
            <w:hideMark/>
          </w:tcPr>
          <w:p w14:paraId="78C1F8B8"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w:t>
            </w:r>
            <w:r w:rsidR="00251D19">
              <w:rPr>
                <w:rFonts w:ascii="Arial" w:hAnsi="Arial" w:cs="Arial"/>
                <w:sz w:val="16"/>
                <w:szCs w:val="16"/>
              </w:rPr>
              <w:t>30</w:t>
            </w:r>
          </w:p>
        </w:tc>
        <w:tc>
          <w:tcPr>
            <w:tcW w:w="0" w:type="auto"/>
            <w:tcBorders>
              <w:top w:val="nil"/>
              <w:left w:val="nil"/>
              <w:bottom w:val="nil"/>
              <w:right w:val="nil"/>
            </w:tcBorders>
            <w:vAlign w:val="center"/>
            <w:hideMark/>
          </w:tcPr>
          <w:p w14:paraId="446FAABF"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0.000</w:t>
            </w:r>
          </w:p>
        </w:tc>
        <w:tc>
          <w:tcPr>
            <w:tcW w:w="0" w:type="auto"/>
            <w:tcBorders>
              <w:top w:val="nil"/>
              <w:left w:val="nil"/>
              <w:bottom w:val="nil"/>
              <w:right w:val="nil"/>
            </w:tcBorders>
            <w:vAlign w:val="center"/>
            <w:hideMark/>
          </w:tcPr>
          <w:p w14:paraId="0AF63DA1"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-1.1</w:t>
            </w:r>
            <w:r w:rsidR="00251D19">
              <w:rPr>
                <w:rFonts w:ascii="Arial" w:hAnsi="Arial" w:cs="Arial"/>
                <w:sz w:val="16"/>
                <w:szCs w:val="16"/>
              </w:rPr>
              <w:t>8</w:t>
            </w:r>
            <w:r w:rsidRPr="00FE7ADB">
              <w:rPr>
                <w:rFonts w:ascii="Arial" w:hAnsi="Arial" w:cs="Arial"/>
                <w:sz w:val="16"/>
                <w:szCs w:val="16"/>
              </w:rPr>
              <w:t>***</w:t>
            </w:r>
          </w:p>
        </w:tc>
        <w:tc>
          <w:tcPr>
            <w:tcW w:w="0" w:type="auto"/>
            <w:tcBorders>
              <w:top w:val="nil"/>
              <w:left w:val="nil"/>
              <w:bottom w:val="nil"/>
              <w:right w:val="nil"/>
            </w:tcBorders>
            <w:vAlign w:val="center"/>
            <w:hideMark/>
          </w:tcPr>
          <w:p w14:paraId="23A6ED9B"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.2</w:t>
            </w:r>
            <w:r w:rsidR="00251D19">
              <w:rPr>
                <w:rFonts w:ascii="Arial" w:hAnsi="Arial" w:cs="Arial"/>
                <w:sz w:val="16"/>
                <w:szCs w:val="16"/>
              </w:rPr>
              <w:t>9</w:t>
            </w:r>
          </w:p>
        </w:tc>
        <w:tc>
          <w:tcPr>
            <w:tcW w:w="0" w:type="auto"/>
            <w:tcBorders>
              <w:top w:val="nil"/>
              <w:left w:val="nil"/>
              <w:bottom w:val="nil"/>
              <w:right w:val="nil"/>
            </w:tcBorders>
            <w:vAlign w:val="center"/>
            <w:hideMark/>
          </w:tcPr>
          <w:p w14:paraId="55F61BEA"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0.000</w:t>
            </w:r>
          </w:p>
        </w:tc>
      </w:tr>
      <w:tr w:rsidR="00251D19" w:rsidRPr="00FE7ADB" w14:paraId="03D2BCC6" w14:textId="77777777" w:rsidTr="000D14C2">
        <w:trPr>
          <w:trHeight w:hRule="exact" w:val="284"/>
        </w:trPr>
        <w:tc>
          <w:tcPr>
            <w:tcW w:w="0" w:type="auto"/>
            <w:tcBorders>
              <w:top w:val="nil"/>
              <w:left w:val="nil"/>
              <w:bottom w:val="nil"/>
              <w:right w:val="nil"/>
            </w:tcBorders>
            <w:vAlign w:val="center"/>
            <w:hideMark/>
          </w:tcPr>
          <w:p w14:paraId="6D89EADB" w14:textId="793C077E" w:rsidR="000C3E9E" w:rsidRPr="00FE7ADB" w:rsidRDefault="0052431E" w:rsidP="00CC52D3">
            <w:pPr>
              <w:widowControl w:val="0"/>
              <w:autoSpaceDE w:val="0"/>
              <w:autoSpaceDN w:val="0"/>
              <w:adjustRightInd w:val="0"/>
              <w:spacing w:line="240" w:lineRule="auto"/>
              <w:jc w:val="both"/>
              <w:rPr>
                <w:rFonts w:ascii="Arial" w:hAnsi="Arial" w:cs="Arial"/>
                <w:color w:val="000000" w:themeColor="text1"/>
                <w:sz w:val="16"/>
                <w:szCs w:val="16"/>
                <w:lang w:val="en-US" w:eastAsia="en-US"/>
              </w:rPr>
            </w:pPr>
            <w:r>
              <w:rPr>
                <w:rFonts w:ascii="Arial" w:hAnsi="Arial" w:cs="Arial"/>
                <w:sz w:val="16"/>
                <w:szCs w:val="16"/>
              </w:rPr>
              <w:t>Earlier Judge</w:t>
            </w:r>
          </w:p>
        </w:tc>
        <w:tc>
          <w:tcPr>
            <w:tcW w:w="0" w:type="auto"/>
            <w:tcBorders>
              <w:top w:val="nil"/>
              <w:left w:val="nil"/>
              <w:bottom w:val="nil"/>
              <w:right w:val="nil"/>
            </w:tcBorders>
            <w:vAlign w:val="center"/>
            <w:hideMark/>
          </w:tcPr>
          <w:p w14:paraId="5F03BEB4"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.25</w:t>
            </w:r>
          </w:p>
        </w:tc>
        <w:tc>
          <w:tcPr>
            <w:tcW w:w="0" w:type="auto"/>
            <w:tcBorders>
              <w:top w:val="nil"/>
              <w:left w:val="nil"/>
              <w:bottom w:val="nil"/>
              <w:right w:val="nil"/>
            </w:tcBorders>
            <w:vAlign w:val="center"/>
            <w:hideMark/>
          </w:tcPr>
          <w:p w14:paraId="2DB7F601"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.17</w:t>
            </w:r>
          </w:p>
        </w:tc>
        <w:tc>
          <w:tcPr>
            <w:tcW w:w="0" w:type="auto"/>
            <w:tcBorders>
              <w:top w:val="nil"/>
              <w:left w:val="nil"/>
              <w:bottom w:val="nil"/>
              <w:right w:val="nil"/>
            </w:tcBorders>
            <w:vAlign w:val="center"/>
            <w:hideMark/>
          </w:tcPr>
          <w:p w14:paraId="05654C73"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0.146</w:t>
            </w:r>
          </w:p>
        </w:tc>
        <w:tc>
          <w:tcPr>
            <w:tcW w:w="0" w:type="auto"/>
            <w:tcBorders>
              <w:top w:val="nil"/>
              <w:left w:val="nil"/>
              <w:bottom w:val="nil"/>
              <w:right w:val="nil"/>
            </w:tcBorders>
            <w:vAlign w:val="center"/>
          </w:tcPr>
          <w:p w14:paraId="1A328137"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1E93DF9E"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29F67290"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6E95C0B2"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020E6A53"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7E1196CA"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r>
      <w:tr w:rsidR="00AB37AF" w:rsidRPr="00FE7ADB" w14:paraId="1A20361C" w14:textId="77777777" w:rsidTr="000D14C2">
        <w:trPr>
          <w:trHeight w:hRule="exact" w:val="284"/>
        </w:trPr>
        <w:tc>
          <w:tcPr>
            <w:tcW w:w="0" w:type="auto"/>
            <w:tcBorders>
              <w:top w:val="nil"/>
              <w:left w:val="nil"/>
              <w:bottom w:val="nil"/>
              <w:right w:val="nil"/>
            </w:tcBorders>
            <w:shd w:val="clear" w:color="auto" w:fill="FFFFFF" w:themeFill="background1"/>
            <w:vAlign w:val="center"/>
            <w:hideMark/>
          </w:tcPr>
          <w:p w14:paraId="46A0A603" w14:textId="61D87123" w:rsidR="000C3E9E" w:rsidRPr="00FE7ADB" w:rsidRDefault="0052431E" w:rsidP="00CC52D3">
            <w:pPr>
              <w:widowControl w:val="0"/>
              <w:autoSpaceDE w:val="0"/>
              <w:autoSpaceDN w:val="0"/>
              <w:adjustRightInd w:val="0"/>
              <w:spacing w:line="240" w:lineRule="auto"/>
              <w:jc w:val="both"/>
              <w:rPr>
                <w:rFonts w:ascii="Arial" w:hAnsi="Arial" w:cs="Arial"/>
                <w:color w:val="000000" w:themeColor="text1"/>
                <w:sz w:val="16"/>
                <w:szCs w:val="16"/>
                <w:lang w:val="en-US" w:eastAsia="en-US"/>
              </w:rPr>
            </w:pPr>
            <w:r>
              <w:rPr>
                <w:rFonts w:ascii="Arial" w:hAnsi="Arial" w:cs="Arial"/>
                <w:sz w:val="16"/>
                <w:szCs w:val="16"/>
              </w:rPr>
              <w:t>Government Advocate</w:t>
            </w:r>
          </w:p>
        </w:tc>
        <w:tc>
          <w:tcPr>
            <w:tcW w:w="0" w:type="auto"/>
            <w:tcBorders>
              <w:top w:val="nil"/>
              <w:left w:val="nil"/>
              <w:bottom w:val="nil"/>
              <w:right w:val="nil"/>
            </w:tcBorders>
            <w:shd w:val="clear" w:color="auto" w:fill="FFFFFF" w:themeFill="background1"/>
            <w:vAlign w:val="center"/>
            <w:hideMark/>
          </w:tcPr>
          <w:p w14:paraId="1C0D8FC4"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.08</w:t>
            </w:r>
          </w:p>
        </w:tc>
        <w:tc>
          <w:tcPr>
            <w:tcW w:w="0" w:type="auto"/>
            <w:tcBorders>
              <w:top w:val="nil"/>
              <w:left w:val="nil"/>
              <w:bottom w:val="nil"/>
              <w:right w:val="nil"/>
            </w:tcBorders>
            <w:shd w:val="clear" w:color="auto" w:fill="FFFFFF" w:themeFill="background1"/>
            <w:vAlign w:val="center"/>
            <w:hideMark/>
          </w:tcPr>
          <w:p w14:paraId="4F512167"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.22</w:t>
            </w:r>
          </w:p>
        </w:tc>
        <w:tc>
          <w:tcPr>
            <w:tcW w:w="0" w:type="auto"/>
            <w:tcBorders>
              <w:top w:val="nil"/>
              <w:left w:val="nil"/>
              <w:bottom w:val="nil"/>
              <w:right w:val="nil"/>
            </w:tcBorders>
            <w:shd w:val="clear" w:color="auto" w:fill="FFFFFF" w:themeFill="background1"/>
            <w:vAlign w:val="center"/>
            <w:hideMark/>
          </w:tcPr>
          <w:p w14:paraId="767B4607" w14:textId="77777777" w:rsidR="000C3E9E" w:rsidRPr="00FE7ADB" w:rsidRDefault="00251D19"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Pr>
                <w:rFonts w:ascii="Arial" w:hAnsi="Arial" w:cs="Arial"/>
                <w:sz w:val="16"/>
                <w:szCs w:val="16"/>
              </w:rPr>
              <w:t>0</w:t>
            </w:r>
            <w:r w:rsidR="000C3E9E" w:rsidRPr="00FE7ADB">
              <w:rPr>
                <w:rFonts w:ascii="Arial" w:hAnsi="Arial" w:cs="Arial"/>
                <w:sz w:val="16"/>
                <w:szCs w:val="16"/>
              </w:rPr>
              <w:t>.712</w:t>
            </w:r>
          </w:p>
        </w:tc>
        <w:tc>
          <w:tcPr>
            <w:tcW w:w="0" w:type="auto"/>
            <w:tcBorders>
              <w:top w:val="nil"/>
              <w:left w:val="nil"/>
              <w:bottom w:val="nil"/>
              <w:right w:val="nil"/>
            </w:tcBorders>
            <w:shd w:val="clear" w:color="auto" w:fill="FFFFFF" w:themeFill="background1"/>
            <w:vAlign w:val="center"/>
          </w:tcPr>
          <w:p w14:paraId="723A8409"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shd w:val="clear" w:color="auto" w:fill="FFFFFF" w:themeFill="background1"/>
            <w:vAlign w:val="center"/>
          </w:tcPr>
          <w:p w14:paraId="49E83319"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shd w:val="clear" w:color="auto" w:fill="FFFFFF" w:themeFill="background1"/>
            <w:vAlign w:val="center"/>
          </w:tcPr>
          <w:p w14:paraId="6BFD1A39"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shd w:val="clear" w:color="auto" w:fill="FFFFFF" w:themeFill="background1"/>
            <w:vAlign w:val="center"/>
          </w:tcPr>
          <w:p w14:paraId="67E3FC3C"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shd w:val="clear" w:color="auto" w:fill="FFFFFF" w:themeFill="background1"/>
            <w:vAlign w:val="center"/>
          </w:tcPr>
          <w:p w14:paraId="305069A2"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shd w:val="clear" w:color="auto" w:fill="FFFFFF" w:themeFill="background1"/>
            <w:vAlign w:val="center"/>
          </w:tcPr>
          <w:p w14:paraId="17F12B8B"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r>
      <w:tr w:rsidR="00AB37AF" w:rsidRPr="00FE7ADB" w14:paraId="7A3F29E9" w14:textId="77777777" w:rsidTr="000D14C2">
        <w:trPr>
          <w:trHeight w:hRule="exact" w:val="284"/>
        </w:trPr>
        <w:tc>
          <w:tcPr>
            <w:tcW w:w="0" w:type="auto"/>
            <w:tcBorders>
              <w:top w:val="nil"/>
              <w:left w:val="nil"/>
              <w:bottom w:val="nil"/>
              <w:right w:val="nil"/>
            </w:tcBorders>
            <w:shd w:val="clear" w:color="auto" w:fill="FFFFFF" w:themeFill="background1"/>
            <w:vAlign w:val="center"/>
            <w:hideMark/>
          </w:tcPr>
          <w:p w14:paraId="60C89601" w14:textId="741C2DEA" w:rsidR="000C3E9E" w:rsidRPr="00FE7ADB" w:rsidRDefault="0052431E" w:rsidP="00CC52D3">
            <w:pPr>
              <w:widowControl w:val="0"/>
              <w:autoSpaceDE w:val="0"/>
              <w:autoSpaceDN w:val="0"/>
              <w:adjustRightInd w:val="0"/>
              <w:spacing w:line="240" w:lineRule="auto"/>
              <w:jc w:val="both"/>
              <w:rPr>
                <w:rFonts w:ascii="Arial" w:hAnsi="Arial" w:cs="Arial"/>
                <w:color w:val="000000" w:themeColor="text1"/>
                <w:sz w:val="16"/>
                <w:szCs w:val="16"/>
                <w:lang w:val="en-US" w:eastAsia="en-US"/>
              </w:rPr>
            </w:pPr>
            <w:r>
              <w:rPr>
                <w:rFonts w:ascii="Arial" w:hAnsi="Arial" w:cs="Arial"/>
                <w:sz w:val="16"/>
                <w:szCs w:val="16"/>
              </w:rPr>
              <w:t>Legislation Department</w:t>
            </w:r>
          </w:p>
        </w:tc>
        <w:tc>
          <w:tcPr>
            <w:tcW w:w="0" w:type="auto"/>
            <w:tcBorders>
              <w:top w:val="nil"/>
              <w:left w:val="nil"/>
              <w:bottom w:val="nil"/>
              <w:right w:val="nil"/>
            </w:tcBorders>
            <w:shd w:val="clear" w:color="auto" w:fill="FFFFFF" w:themeFill="background1"/>
            <w:vAlign w:val="center"/>
            <w:hideMark/>
          </w:tcPr>
          <w:p w14:paraId="0A2F894C"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.23</w:t>
            </w:r>
          </w:p>
        </w:tc>
        <w:tc>
          <w:tcPr>
            <w:tcW w:w="0" w:type="auto"/>
            <w:tcBorders>
              <w:top w:val="nil"/>
              <w:left w:val="nil"/>
              <w:bottom w:val="nil"/>
              <w:right w:val="nil"/>
            </w:tcBorders>
            <w:shd w:val="clear" w:color="auto" w:fill="FFFFFF" w:themeFill="background1"/>
            <w:vAlign w:val="center"/>
            <w:hideMark/>
          </w:tcPr>
          <w:p w14:paraId="5CB2CF6C"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.18</w:t>
            </w:r>
          </w:p>
        </w:tc>
        <w:tc>
          <w:tcPr>
            <w:tcW w:w="0" w:type="auto"/>
            <w:tcBorders>
              <w:top w:val="nil"/>
              <w:left w:val="nil"/>
              <w:bottom w:val="nil"/>
              <w:right w:val="nil"/>
            </w:tcBorders>
            <w:shd w:val="clear" w:color="auto" w:fill="FFFFFF" w:themeFill="background1"/>
            <w:vAlign w:val="center"/>
            <w:hideMark/>
          </w:tcPr>
          <w:p w14:paraId="52CC3F85" w14:textId="77777777" w:rsidR="000C3E9E" w:rsidRPr="00FE7ADB" w:rsidRDefault="00251D19"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Pr>
                <w:rFonts w:ascii="Arial" w:hAnsi="Arial" w:cs="Arial"/>
                <w:sz w:val="16"/>
                <w:szCs w:val="16"/>
              </w:rPr>
              <w:t>0</w:t>
            </w:r>
            <w:r w:rsidR="000C3E9E" w:rsidRPr="00FE7ADB">
              <w:rPr>
                <w:rFonts w:ascii="Arial" w:hAnsi="Arial" w:cs="Arial"/>
                <w:sz w:val="16"/>
                <w:szCs w:val="16"/>
              </w:rPr>
              <w:t>.201</w:t>
            </w:r>
          </w:p>
        </w:tc>
        <w:tc>
          <w:tcPr>
            <w:tcW w:w="0" w:type="auto"/>
            <w:tcBorders>
              <w:top w:val="nil"/>
              <w:left w:val="nil"/>
              <w:bottom w:val="nil"/>
              <w:right w:val="nil"/>
            </w:tcBorders>
            <w:shd w:val="clear" w:color="auto" w:fill="FFFFFF" w:themeFill="background1"/>
            <w:vAlign w:val="center"/>
          </w:tcPr>
          <w:p w14:paraId="00ADB0A1"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shd w:val="clear" w:color="auto" w:fill="FFFFFF" w:themeFill="background1"/>
            <w:vAlign w:val="center"/>
          </w:tcPr>
          <w:p w14:paraId="225DC5C4"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shd w:val="clear" w:color="auto" w:fill="FFFFFF" w:themeFill="background1"/>
            <w:vAlign w:val="center"/>
          </w:tcPr>
          <w:p w14:paraId="0278A94E"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shd w:val="clear" w:color="auto" w:fill="FFFFFF" w:themeFill="background1"/>
            <w:vAlign w:val="center"/>
          </w:tcPr>
          <w:p w14:paraId="6A03BDAF"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shd w:val="clear" w:color="auto" w:fill="FFFFFF" w:themeFill="background1"/>
            <w:vAlign w:val="center"/>
          </w:tcPr>
          <w:p w14:paraId="2C90C871"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shd w:val="clear" w:color="auto" w:fill="FFFFFF" w:themeFill="background1"/>
            <w:vAlign w:val="center"/>
          </w:tcPr>
          <w:p w14:paraId="49667263"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r>
      <w:tr w:rsidR="00AB37AF" w:rsidRPr="00FE7ADB" w14:paraId="0F13CFD1" w14:textId="77777777" w:rsidTr="000D14C2">
        <w:trPr>
          <w:trHeight w:hRule="exact" w:val="284"/>
        </w:trPr>
        <w:tc>
          <w:tcPr>
            <w:tcW w:w="0" w:type="auto"/>
            <w:tcBorders>
              <w:top w:val="nil"/>
              <w:left w:val="nil"/>
              <w:bottom w:val="nil"/>
              <w:right w:val="nil"/>
            </w:tcBorders>
            <w:shd w:val="clear" w:color="auto" w:fill="FFFFFF" w:themeFill="background1"/>
            <w:vAlign w:val="center"/>
            <w:hideMark/>
          </w:tcPr>
          <w:p w14:paraId="6437C9B3" w14:textId="7DF2A83C" w:rsidR="000C3E9E" w:rsidRPr="00FE7ADB" w:rsidRDefault="0052431E" w:rsidP="00CC52D3">
            <w:pPr>
              <w:widowControl w:val="0"/>
              <w:autoSpaceDE w:val="0"/>
              <w:autoSpaceDN w:val="0"/>
              <w:adjustRightInd w:val="0"/>
              <w:spacing w:line="240" w:lineRule="auto"/>
              <w:jc w:val="both"/>
              <w:rPr>
                <w:rFonts w:ascii="Arial" w:hAnsi="Arial" w:cs="Arial"/>
                <w:color w:val="000000" w:themeColor="text1"/>
                <w:sz w:val="16"/>
                <w:szCs w:val="16"/>
                <w:lang w:val="en-US" w:eastAsia="en-US"/>
              </w:rPr>
            </w:pPr>
            <w:r>
              <w:rPr>
                <w:rFonts w:ascii="Arial" w:hAnsi="Arial" w:cs="Arial"/>
                <w:sz w:val="16"/>
                <w:szCs w:val="16"/>
              </w:rPr>
              <w:t>Public prosecutor</w:t>
            </w:r>
          </w:p>
        </w:tc>
        <w:tc>
          <w:tcPr>
            <w:tcW w:w="0" w:type="auto"/>
            <w:tcBorders>
              <w:top w:val="nil"/>
              <w:left w:val="nil"/>
              <w:bottom w:val="nil"/>
              <w:right w:val="nil"/>
            </w:tcBorders>
            <w:shd w:val="clear" w:color="auto" w:fill="FFFFFF" w:themeFill="background1"/>
            <w:vAlign w:val="center"/>
            <w:hideMark/>
          </w:tcPr>
          <w:p w14:paraId="4B41D42F"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.66**</w:t>
            </w:r>
          </w:p>
        </w:tc>
        <w:tc>
          <w:tcPr>
            <w:tcW w:w="0" w:type="auto"/>
            <w:tcBorders>
              <w:top w:val="nil"/>
              <w:left w:val="nil"/>
              <w:bottom w:val="nil"/>
              <w:right w:val="nil"/>
            </w:tcBorders>
            <w:shd w:val="clear" w:color="auto" w:fill="FFFFFF" w:themeFill="background1"/>
            <w:vAlign w:val="center"/>
            <w:hideMark/>
          </w:tcPr>
          <w:p w14:paraId="3775E817"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.29</w:t>
            </w:r>
          </w:p>
        </w:tc>
        <w:tc>
          <w:tcPr>
            <w:tcW w:w="0" w:type="auto"/>
            <w:tcBorders>
              <w:top w:val="nil"/>
              <w:left w:val="nil"/>
              <w:bottom w:val="nil"/>
              <w:right w:val="nil"/>
            </w:tcBorders>
            <w:shd w:val="clear" w:color="auto" w:fill="FFFFFF" w:themeFill="background1"/>
            <w:vAlign w:val="center"/>
            <w:hideMark/>
          </w:tcPr>
          <w:p w14:paraId="41558C1A"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0.023</w:t>
            </w:r>
          </w:p>
        </w:tc>
        <w:tc>
          <w:tcPr>
            <w:tcW w:w="0" w:type="auto"/>
            <w:tcBorders>
              <w:top w:val="nil"/>
              <w:left w:val="nil"/>
              <w:bottom w:val="nil"/>
              <w:right w:val="nil"/>
            </w:tcBorders>
            <w:shd w:val="clear" w:color="auto" w:fill="FFFFFF" w:themeFill="background1"/>
            <w:vAlign w:val="center"/>
            <w:hideMark/>
          </w:tcPr>
          <w:p w14:paraId="09ECA1CF"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.54**</w:t>
            </w:r>
          </w:p>
        </w:tc>
        <w:tc>
          <w:tcPr>
            <w:tcW w:w="0" w:type="auto"/>
            <w:tcBorders>
              <w:top w:val="nil"/>
              <w:left w:val="nil"/>
              <w:bottom w:val="nil"/>
              <w:right w:val="nil"/>
            </w:tcBorders>
            <w:shd w:val="clear" w:color="auto" w:fill="FFFFFF" w:themeFill="background1"/>
            <w:vAlign w:val="center"/>
            <w:hideMark/>
          </w:tcPr>
          <w:p w14:paraId="560825F0"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.2</w:t>
            </w:r>
            <w:r w:rsidR="00251D19">
              <w:rPr>
                <w:rFonts w:ascii="Arial" w:hAnsi="Arial" w:cs="Arial"/>
                <w:sz w:val="16"/>
                <w:szCs w:val="16"/>
              </w:rPr>
              <w:t>7</w:t>
            </w:r>
          </w:p>
        </w:tc>
        <w:tc>
          <w:tcPr>
            <w:tcW w:w="0" w:type="auto"/>
            <w:tcBorders>
              <w:top w:val="nil"/>
              <w:left w:val="nil"/>
              <w:bottom w:val="nil"/>
              <w:right w:val="nil"/>
            </w:tcBorders>
            <w:shd w:val="clear" w:color="auto" w:fill="FFFFFF" w:themeFill="background1"/>
            <w:vAlign w:val="center"/>
            <w:hideMark/>
          </w:tcPr>
          <w:p w14:paraId="11A45AAE"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0.042</w:t>
            </w:r>
          </w:p>
        </w:tc>
        <w:tc>
          <w:tcPr>
            <w:tcW w:w="0" w:type="auto"/>
            <w:tcBorders>
              <w:top w:val="nil"/>
              <w:left w:val="nil"/>
              <w:bottom w:val="nil"/>
              <w:right w:val="nil"/>
            </w:tcBorders>
            <w:shd w:val="clear" w:color="auto" w:fill="FFFFFF" w:themeFill="background1"/>
            <w:vAlign w:val="center"/>
            <w:hideMark/>
          </w:tcPr>
          <w:p w14:paraId="69378DAA"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.50*</w:t>
            </w:r>
          </w:p>
        </w:tc>
        <w:tc>
          <w:tcPr>
            <w:tcW w:w="0" w:type="auto"/>
            <w:tcBorders>
              <w:top w:val="nil"/>
              <w:left w:val="nil"/>
              <w:bottom w:val="nil"/>
              <w:right w:val="nil"/>
            </w:tcBorders>
            <w:shd w:val="clear" w:color="auto" w:fill="FFFFFF" w:themeFill="background1"/>
            <w:vAlign w:val="center"/>
            <w:hideMark/>
          </w:tcPr>
          <w:p w14:paraId="1342A567"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.26</w:t>
            </w:r>
          </w:p>
        </w:tc>
        <w:tc>
          <w:tcPr>
            <w:tcW w:w="0" w:type="auto"/>
            <w:tcBorders>
              <w:top w:val="nil"/>
              <w:left w:val="nil"/>
              <w:bottom w:val="nil"/>
              <w:right w:val="nil"/>
            </w:tcBorders>
            <w:shd w:val="clear" w:color="auto" w:fill="FFFFFF" w:themeFill="background1"/>
            <w:vAlign w:val="center"/>
            <w:hideMark/>
          </w:tcPr>
          <w:p w14:paraId="7ED01072"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0.054</w:t>
            </w:r>
          </w:p>
        </w:tc>
      </w:tr>
      <w:tr w:rsidR="00AB37AF" w:rsidRPr="00FE7ADB" w14:paraId="750E8DBB" w14:textId="77777777" w:rsidTr="000D14C2">
        <w:trPr>
          <w:trHeight w:hRule="exact" w:val="284"/>
        </w:trPr>
        <w:tc>
          <w:tcPr>
            <w:tcW w:w="0" w:type="auto"/>
            <w:tcBorders>
              <w:top w:val="nil"/>
              <w:left w:val="nil"/>
              <w:bottom w:val="nil"/>
              <w:right w:val="nil"/>
            </w:tcBorders>
            <w:shd w:val="clear" w:color="auto" w:fill="FFFFFF" w:themeFill="background1"/>
            <w:vAlign w:val="center"/>
            <w:hideMark/>
          </w:tcPr>
          <w:p w14:paraId="061835B5" w14:textId="196E272D" w:rsidR="000C3E9E" w:rsidRPr="00FE7ADB" w:rsidRDefault="000C3E9E" w:rsidP="0052431E">
            <w:pPr>
              <w:widowControl w:val="0"/>
              <w:autoSpaceDE w:val="0"/>
              <w:autoSpaceDN w:val="0"/>
              <w:adjustRightInd w:val="0"/>
              <w:spacing w:line="240" w:lineRule="auto"/>
              <w:jc w:val="both"/>
              <w:rPr>
                <w:rFonts w:ascii="Arial" w:hAnsi="Arial" w:cs="Arial"/>
                <w:color w:val="000000" w:themeColor="text1"/>
                <w:sz w:val="16"/>
                <w:szCs w:val="16"/>
                <w:lang w:val="en-US" w:eastAsia="en-US"/>
              </w:rPr>
            </w:pPr>
            <w:r w:rsidRPr="00FE7ADB">
              <w:rPr>
                <w:rFonts w:ascii="Arial" w:hAnsi="Arial" w:cs="Arial"/>
                <w:sz w:val="16"/>
                <w:szCs w:val="16"/>
              </w:rPr>
              <w:t>Wom</w:t>
            </w:r>
            <w:r w:rsidR="0052431E">
              <w:rPr>
                <w:rFonts w:ascii="Arial" w:hAnsi="Arial" w:cs="Arial"/>
                <w:sz w:val="16"/>
                <w:szCs w:val="16"/>
              </w:rPr>
              <w:t>a</w:t>
            </w:r>
            <w:r w:rsidRPr="00FE7ADB">
              <w:rPr>
                <w:rFonts w:ascii="Arial" w:hAnsi="Arial" w:cs="Arial"/>
                <w:sz w:val="16"/>
                <w:szCs w:val="16"/>
              </w:rPr>
              <w:t>n</w:t>
            </w:r>
          </w:p>
        </w:tc>
        <w:tc>
          <w:tcPr>
            <w:tcW w:w="0" w:type="auto"/>
            <w:tcBorders>
              <w:top w:val="nil"/>
              <w:left w:val="nil"/>
              <w:bottom w:val="nil"/>
              <w:right w:val="nil"/>
            </w:tcBorders>
            <w:shd w:val="clear" w:color="auto" w:fill="FFFFFF" w:themeFill="background1"/>
            <w:vAlign w:val="center"/>
            <w:hideMark/>
          </w:tcPr>
          <w:p w14:paraId="69D11DBE"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w:t>
            </w:r>
            <w:r w:rsidR="00251D19">
              <w:rPr>
                <w:rFonts w:ascii="Arial" w:hAnsi="Arial" w:cs="Arial"/>
                <w:sz w:val="16"/>
                <w:szCs w:val="16"/>
              </w:rPr>
              <w:t>7</w:t>
            </w:r>
          </w:p>
        </w:tc>
        <w:tc>
          <w:tcPr>
            <w:tcW w:w="0" w:type="auto"/>
            <w:tcBorders>
              <w:top w:val="nil"/>
              <w:left w:val="nil"/>
              <w:bottom w:val="nil"/>
              <w:right w:val="nil"/>
            </w:tcBorders>
            <w:shd w:val="clear" w:color="auto" w:fill="FFFFFF" w:themeFill="background1"/>
            <w:vAlign w:val="center"/>
            <w:hideMark/>
          </w:tcPr>
          <w:p w14:paraId="166EFCAF"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.22</w:t>
            </w:r>
          </w:p>
        </w:tc>
        <w:tc>
          <w:tcPr>
            <w:tcW w:w="0" w:type="auto"/>
            <w:tcBorders>
              <w:top w:val="nil"/>
              <w:left w:val="nil"/>
              <w:bottom w:val="nil"/>
              <w:right w:val="nil"/>
            </w:tcBorders>
            <w:shd w:val="clear" w:color="auto" w:fill="FFFFFF" w:themeFill="background1"/>
            <w:vAlign w:val="center"/>
            <w:hideMark/>
          </w:tcPr>
          <w:p w14:paraId="3AE08650" w14:textId="77777777" w:rsidR="000C3E9E" w:rsidRPr="00FE7ADB" w:rsidRDefault="00251D19"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Pr>
                <w:rFonts w:ascii="Arial" w:hAnsi="Arial" w:cs="Arial"/>
                <w:sz w:val="16"/>
                <w:szCs w:val="16"/>
              </w:rPr>
              <w:t>0</w:t>
            </w:r>
            <w:r w:rsidR="000C3E9E" w:rsidRPr="00FE7ADB">
              <w:rPr>
                <w:rFonts w:ascii="Arial" w:hAnsi="Arial" w:cs="Arial"/>
                <w:sz w:val="16"/>
                <w:szCs w:val="16"/>
              </w:rPr>
              <w:t>.765</w:t>
            </w:r>
          </w:p>
        </w:tc>
        <w:tc>
          <w:tcPr>
            <w:tcW w:w="0" w:type="auto"/>
            <w:tcBorders>
              <w:top w:val="nil"/>
              <w:left w:val="nil"/>
              <w:bottom w:val="nil"/>
              <w:right w:val="nil"/>
            </w:tcBorders>
            <w:shd w:val="clear" w:color="auto" w:fill="FFFFFF" w:themeFill="background1"/>
            <w:vAlign w:val="center"/>
          </w:tcPr>
          <w:p w14:paraId="528D8281"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shd w:val="clear" w:color="auto" w:fill="FFFFFF" w:themeFill="background1"/>
            <w:vAlign w:val="center"/>
          </w:tcPr>
          <w:p w14:paraId="19D467BB"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shd w:val="clear" w:color="auto" w:fill="FFFFFF" w:themeFill="background1"/>
            <w:vAlign w:val="center"/>
          </w:tcPr>
          <w:p w14:paraId="049C34BF"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shd w:val="clear" w:color="auto" w:fill="FFFFFF" w:themeFill="background1"/>
            <w:vAlign w:val="center"/>
          </w:tcPr>
          <w:p w14:paraId="77A0459F"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shd w:val="clear" w:color="auto" w:fill="FFFFFF" w:themeFill="background1"/>
            <w:vAlign w:val="center"/>
          </w:tcPr>
          <w:p w14:paraId="5A9BD47A"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shd w:val="clear" w:color="auto" w:fill="FFFFFF" w:themeFill="background1"/>
            <w:vAlign w:val="center"/>
          </w:tcPr>
          <w:p w14:paraId="273345EE"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r>
      <w:tr w:rsidR="00AB37AF" w:rsidRPr="00FE7ADB" w14:paraId="1AF57D27" w14:textId="77777777" w:rsidTr="000D14C2">
        <w:trPr>
          <w:trHeight w:hRule="exact" w:val="284"/>
        </w:trPr>
        <w:tc>
          <w:tcPr>
            <w:tcW w:w="0" w:type="auto"/>
            <w:tcBorders>
              <w:top w:val="nil"/>
              <w:left w:val="nil"/>
              <w:bottom w:val="nil"/>
              <w:right w:val="nil"/>
            </w:tcBorders>
            <w:shd w:val="clear" w:color="auto" w:fill="FFFFFF" w:themeFill="background1"/>
            <w:vAlign w:val="center"/>
            <w:hideMark/>
          </w:tcPr>
          <w:p w14:paraId="4A6029B5" w14:textId="31E1B9F9" w:rsidR="000C3E9E" w:rsidRPr="00FE7ADB" w:rsidRDefault="000C3E9E" w:rsidP="00CC52D3">
            <w:pPr>
              <w:widowControl w:val="0"/>
              <w:autoSpaceDE w:val="0"/>
              <w:autoSpaceDN w:val="0"/>
              <w:adjustRightInd w:val="0"/>
              <w:spacing w:line="240" w:lineRule="auto"/>
              <w:jc w:val="both"/>
              <w:rPr>
                <w:rFonts w:ascii="Arial" w:hAnsi="Arial" w:cs="Arial"/>
                <w:color w:val="000000" w:themeColor="text1"/>
                <w:sz w:val="16"/>
                <w:szCs w:val="16"/>
                <w:lang w:val="en-US" w:eastAsia="en-US"/>
              </w:rPr>
            </w:pPr>
            <w:r w:rsidRPr="00FE7ADB">
              <w:rPr>
                <w:rFonts w:ascii="Arial" w:hAnsi="Arial" w:cs="Arial"/>
                <w:sz w:val="16"/>
                <w:szCs w:val="16"/>
              </w:rPr>
              <w:t>Oslo</w:t>
            </w:r>
            <w:r w:rsidR="0052431E">
              <w:rPr>
                <w:rFonts w:ascii="Arial" w:hAnsi="Arial" w:cs="Arial"/>
                <w:sz w:val="16"/>
                <w:szCs w:val="16"/>
              </w:rPr>
              <w:t xml:space="preserve"> </w:t>
            </w:r>
            <w:r w:rsidRPr="00FE7ADB">
              <w:rPr>
                <w:rFonts w:ascii="Arial" w:hAnsi="Arial" w:cs="Arial"/>
                <w:sz w:val="16"/>
                <w:szCs w:val="16"/>
              </w:rPr>
              <w:t>born</w:t>
            </w:r>
          </w:p>
        </w:tc>
        <w:tc>
          <w:tcPr>
            <w:tcW w:w="0" w:type="auto"/>
            <w:tcBorders>
              <w:top w:val="nil"/>
              <w:left w:val="nil"/>
              <w:bottom w:val="nil"/>
              <w:right w:val="nil"/>
            </w:tcBorders>
            <w:shd w:val="clear" w:color="auto" w:fill="FFFFFF" w:themeFill="background1"/>
            <w:vAlign w:val="center"/>
            <w:hideMark/>
          </w:tcPr>
          <w:p w14:paraId="662CD872"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-.27*</w:t>
            </w:r>
          </w:p>
        </w:tc>
        <w:tc>
          <w:tcPr>
            <w:tcW w:w="0" w:type="auto"/>
            <w:tcBorders>
              <w:top w:val="nil"/>
              <w:left w:val="nil"/>
              <w:bottom w:val="nil"/>
              <w:right w:val="nil"/>
            </w:tcBorders>
            <w:shd w:val="clear" w:color="auto" w:fill="FFFFFF" w:themeFill="background1"/>
            <w:vAlign w:val="center"/>
            <w:hideMark/>
          </w:tcPr>
          <w:p w14:paraId="6178897E"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.16</w:t>
            </w:r>
          </w:p>
        </w:tc>
        <w:tc>
          <w:tcPr>
            <w:tcW w:w="0" w:type="auto"/>
            <w:tcBorders>
              <w:top w:val="nil"/>
              <w:left w:val="nil"/>
              <w:bottom w:val="nil"/>
              <w:right w:val="nil"/>
            </w:tcBorders>
            <w:shd w:val="clear" w:color="auto" w:fill="FFFFFF" w:themeFill="background1"/>
            <w:vAlign w:val="center"/>
            <w:hideMark/>
          </w:tcPr>
          <w:p w14:paraId="683F9F2E"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0.090</w:t>
            </w:r>
          </w:p>
        </w:tc>
        <w:tc>
          <w:tcPr>
            <w:tcW w:w="0" w:type="auto"/>
            <w:tcBorders>
              <w:top w:val="nil"/>
              <w:left w:val="nil"/>
              <w:bottom w:val="nil"/>
              <w:right w:val="nil"/>
            </w:tcBorders>
            <w:shd w:val="clear" w:color="auto" w:fill="FFFFFF" w:themeFill="background1"/>
            <w:vAlign w:val="center"/>
            <w:hideMark/>
          </w:tcPr>
          <w:p w14:paraId="6BCAA3F1"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-.2</w:t>
            </w:r>
            <w:r w:rsidR="00251D19">
              <w:rPr>
                <w:rFonts w:ascii="Arial" w:hAnsi="Arial" w:cs="Arial"/>
                <w:sz w:val="16"/>
                <w:szCs w:val="16"/>
              </w:rPr>
              <w:t>6</w:t>
            </w:r>
            <w:r w:rsidRPr="00FE7ADB">
              <w:rPr>
                <w:rFonts w:ascii="Arial" w:hAnsi="Arial" w:cs="Arial"/>
                <w:sz w:val="16"/>
                <w:szCs w:val="16"/>
              </w:rPr>
              <w:t>*</w:t>
            </w:r>
          </w:p>
        </w:tc>
        <w:tc>
          <w:tcPr>
            <w:tcW w:w="0" w:type="auto"/>
            <w:tcBorders>
              <w:top w:val="nil"/>
              <w:left w:val="nil"/>
              <w:bottom w:val="nil"/>
              <w:right w:val="nil"/>
            </w:tcBorders>
            <w:shd w:val="clear" w:color="auto" w:fill="FFFFFF" w:themeFill="background1"/>
            <w:vAlign w:val="center"/>
            <w:hideMark/>
          </w:tcPr>
          <w:p w14:paraId="58003488"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.1</w:t>
            </w:r>
            <w:r w:rsidR="00251D19">
              <w:rPr>
                <w:rFonts w:ascii="Arial" w:hAnsi="Arial" w:cs="Arial"/>
                <w:sz w:val="16"/>
                <w:szCs w:val="16"/>
              </w:rPr>
              <w:t>6</w:t>
            </w:r>
          </w:p>
        </w:tc>
        <w:tc>
          <w:tcPr>
            <w:tcW w:w="0" w:type="auto"/>
            <w:tcBorders>
              <w:top w:val="nil"/>
              <w:left w:val="nil"/>
              <w:bottom w:val="nil"/>
              <w:right w:val="nil"/>
            </w:tcBorders>
            <w:shd w:val="clear" w:color="auto" w:fill="FFFFFF" w:themeFill="background1"/>
            <w:vAlign w:val="center"/>
            <w:hideMark/>
          </w:tcPr>
          <w:p w14:paraId="1AEC3979"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0.094</w:t>
            </w:r>
          </w:p>
        </w:tc>
        <w:tc>
          <w:tcPr>
            <w:tcW w:w="0" w:type="auto"/>
            <w:tcBorders>
              <w:top w:val="nil"/>
              <w:left w:val="nil"/>
              <w:bottom w:val="nil"/>
              <w:right w:val="nil"/>
            </w:tcBorders>
            <w:shd w:val="clear" w:color="auto" w:fill="FFFFFF" w:themeFill="background1"/>
            <w:vAlign w:val="center"/>
          </w:tcPr>
          <w:p w14:paraId="7365984B"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shd w:val="clear" w:color="auto" w:fill="FFFFFF" w:themeFill="background1"/>
            <w:vAlign w:val="center"/>
          </w:tcPr>
          <w:p w14:paraId="1B905E13"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shd w:val="clear" w:color="auto" w:fill="FFFFFF" w:themeFill="background1"/>
            <w:vAlign w:val="center"/>
          </w:tcPr>
          <w:p w14:paraId="0C75B6E1"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r>
      <w:tr w:rsidR="00251D19" w:rsidRPr="00FE7ADB" w14:paraId="61217466" w14:textId="77777777" w:rsidTr="000D14C2">
        <w:trPr>
          <w:trHeight w:hRule="exact" w:val="284"/>
        </w:trPr>
        <w:tc>
          <w:tcPr>
            <w:tcW w:w="0" w:type="auto"/>
            <w:tcBorders>
              <w:top w:val="nil"/>
              <w:left w:val="nil"/>
              <w:bottom w:val="nil"/>
              <w:right w:val="nil"/>
            </w:tcBorders>
            <w:vAlign w:val="center"/>
            <w:hideMark/>
          </w:tcPr>
          <w:p w14:paraId="56CF0979" w14:textId="7DE57E7F" w:rsidR="000C3E9E" w:rsidRPr="00FE7ADB" w:rsidRDefault="0052431E" w:rsidP="00CC52D3">
            <w:pPr>
              <w:widowControl w:val="0"/>
              <w:autoSpaceDE w:val="0"/>
              <w:autoSpaceDN w:val="0"/>
              <w:adjustRightInd w:val="0"/>
              <w:spacing w:line="240" w:lineRule="auto"/>
              <w:jc w:val="both"/>
              <w:rPr>
                <w:rFonts w:ascii="Arial" w:hAnsi="Arial" w:cs="Arial"/>
                <w:color w:val="000000" w:themeColor="text1"/>
                <w:sz w:val="16"/>
                <w:szCs w:val="16"/>
                <w:lang w:val="en-US" w:eastAsia="en-US"/>
              </w:rPr>
            </w:pPr>
            <w:r>
              <w:rPr>
                <w:rFonts w:ascii="Arial" w:hAnsi="Arial" w:cs="Arial"/>
                <w:sz w:val="16"/>
                <w:szCs w:val="16"/>
              </w:rPr>
              <w:t>Age at vote (C)</w:t>
            </w:r>
          </w:p>
        </w:tc>
        <w:tc>
          <w:tcPr>
            <w:tcW w:w="0" w:type="auto"/>
            <w:tcBorders>
              <w:top w:val="nil"/>
              <w:left w:val="nil"/>
              <w:bottom w:val="nil"/>
              <w:right w:val="nil"/>
            </w:tcBorders>
            <w:vAlign w:val="center"/>
            <w:hideMark/>
          </w:tcPr>
          <w:p w14:paraId="5FAB4BA9"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w:t>
            </w:r>
            <w:r w:rsidR="00251D19">
              <w:rPr>
                <w:rFonts w:ascii="Arial" w:hAnsi="Arial" w:cs="Arial"/>
                <w:sz w:val="16"/>
                <w:szCs w:val="16"/>
              </w:rPr>
              <w:t>2</w:t>
            </w:r>
          </w:p>
        </w:tc>
        <w:tc>
          <w:tcPr>
            <w:tcW w:w="0" w:type="auto"/>
            <w:tcBorders>
              <w:top w:val="nil"/>
              <w:left w:val="nil"/>
              <w:bottom w:val="nil"/>
              <w:right w:val="nil"/>
            </w:tcBorders>
            <w:vAlign w:val="center"/>
            <w:hideMark/>
          </w:tcPr>
          <w:p w14:paraId="49827107"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w:t>
            </w:r>
            <w:r w:rsidR="00251D19">
              <w:rPr>
                <w:rFonts w:ascii="Arial" w:hAnsi="Arial" w:cs="Arial"/>
                <w:sz w:val="16"/>
                <w:szCs w:val="16"/>
              </w:rPr>
              <w:t>2</w:t>
            </w:r>
          </w:p>
        </w:tc>
        <w:tc>
          <w:tcPr>
            <w:tcW w:w="0" w:type="auto"/>
            <w:tcBorders>
              <w:top w:val="nil"/>
              <w:left w:val="nil"/>
              <w:bottom w:val="nil"/>
              <w:right w:val="nil"/>
            </w:tcBorders>
            <w:vAlign w:val="center"/>
            <w:hideMark/>
          </w:tcPr>
          <w:p w14:paraId="2C370332"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0.285</w:t>
            </w:r>
          </w:p>
        </w:tc>
        <w:tc>
          <w:tcPr>
            <w:tcW w:w="0" w:type="auto"/>
            <w:tcBorders>
              <w:top w:val="nil"/>
              <w:left w:val="nil"/>
              <w:bottom w:val="nil"/>
              <w:right w:val="nil"/>
            </w:tcBorders>
            <w:vAlign w:val="center"/>
          </w:tcPr>
          <w:p w14:paraId="55824CFC"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02D045C1"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0B10A74D"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18EEF292"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21DC7AFC"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2266E9BB"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r>
      <w:tr w:rsidR="00251D19" w:rsidRPr="00FE7ADB" w14:paraId="4E82E7E8" w14:textId="77777777" w:rsidTr="000D14C2">
        <w:trPr>
          <w:trHeight w:hRule="exact" w:val="284"/>
        </w:trPr>
        <w:tc>
          <w:tcPr>
            <w:tcW w:w="0" w:type="auto"/>
            <w:tcBorders>
              <w:top w:val="nil"/>
              <w:left w:val="nil"/>
              <w:bottom w:val="nil"/>
              <w:right w:val="nil"/>
            </w:tcBorders>
            <w:vAlign w:val="center"/>
            <w:hideMark/>
          </w:tcPr>
          <w:p w14:paraId="5B7B5DDC" w14:textId="77777777" w:rsidR="000C3E9E" w:rsidRPr="00FE7ADB" w:rsidRDefault="000C3E9E" w:rsidP="00CC52D3">
            <w:pPr>
              <w:widowControl w:val="0"/>
              <w:autoSpaceDE w:val="0"/>
              <w:autoSpaceDN w:val="0"/>
              <w:adjustRightInd w:val="0"/>
              <w:spacing w:line="240" w:lineRule="auto"/>
              <w:jc w:val="both"/>
              <w:rPr>
                <w:rFonts w:ascii="Arial" w:hAnsi="Arial" w:cs="Arial"/>
                <w:color w:val="000000" w:themeColor="text1"/>
                <w:sz w:val="16"/>
                <w:szCs w:val="16"/>
                <w:lang w:val="en-US" w:eastAsia="en-US"/>
              </w:rPr>
            </w:pPr>
            <w:r w:rsidRPr="00FE7ADB">
              <w:rPr>
                <w:rFonts w:ascii="Arial" w:hAnsi="Arial" w:cs="Arial"/>
                <w:sz w:val="16"/>
                <w:szCs w:val="16"/>
              </w:rPr>
              <w:t>Seniority</w:t>
            </w:r>
          </w:p>
        </w:tc>
        <w:tc>
          <w:tcPr>
            <w:tcW w:w="0" w:type="auto"/>
            <w:tcBorders>
              <w:top w:val="nil"/>
              <w:left w:val="nil"/>
              <w:bottom w:val="nil"/>
              <w:right w:val="nil"/>
            </w:tcBorders>
            <w:vAlign w:val="center"/>
            <w:hideMark/>
          </w:tcPr>
          <w:p w14:paraId="26CC9930"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w:t>
            </w:r>
            <w:r w:rsidR="00251D19">
              <w:rPr>
                <w:rFonts w:ascii="Arial" w:hAnsi="Arial" w:cs="Arial"/>
                <w:sz w:val="16"/>
                <w:szCs w:val="16"/>
              </w:rPr>
              <w:t>3</w:t>
            </w:r>
            <w:r w:rsidRPr="00FE7ADB">
              <w:rPr>
                <w:rFonts w:ascii="Arial" w:hAnsi="Arial" w:cs="Arial"/>
                <w:sz w:val="16"/>
                <w:szCs w:val="16"/>
              </w:rPr>
              <w:t>*</w:t>
            </w:r>
          </w:p>
        </w:tc>
        <w:tc>
          <w:tcPr>
            <w:tcW w:w="0" w:type="auto"/>
            <w:tcBorders>
              <w:top w:val="nil"/>
              <w:left w:val="nil"/>
              <w:bottom w:val="nil"/>
              <w:right w:val="nil"/>
            </w:tcBorders>
            <w:vAlign w:val="center"/>
            <w:hideMark/>
          </w:tcPr>
          <w:p w14:paraId="121D9F3B"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w:t>
            </w:r>
            <w:r w:rsidR="00251D19">
              <w:rPr>
                <w:rFonts w:ascii="Arial" w:hAnsi="Arial" w:cs="Arial"/>
                <w:sz w:val="16"/>
                <w:szCs w:val="16"/>
              </w:rPr>
              <w:t>2</w:t>
            </w:r>
          </w:p>
        </w:tc>
        <w:tc>
          <w:tcPr>
            <w:tcW w:w="0" w:type="auto"/>
            <w:tcBorders>
              <w:top w:val="nil"/>
              <w:left w:val="nil"/>
              <w:bottom w:val="nil"/>
              <w:right w:val="nil"/>
            </w:tcBorders>
            <w:vAlign w:val="center"/>
            <w:hideMark/>
          </w:tcPr>
          <w:p w14:paraId="15725747"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0.068</w:t>
            </w:r>
          </w:p>
        </w:tc>
        <w:tc>
          <w:tcPr>
            <w:tcW w:w="0" w:type="auto"/>
            <w:tcBorders>
              <w:top w:val="nil"/>
              <w:left w:val="nil"/>
              <w:bottom w:val="nil"/>
              <w:right w:val="nil"/>
            </w:tcBorders>
            <w:vAlign w:val="center"/>
          </w:tcPr>
          <w:p w14:paraId="5E8B0526"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16517227"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4D94F27F"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6627D20B"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20B1DD05"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6278C74E"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r>
      <w:tr w:rsidR="00251D19" w:rsidRPr="00FE7ADB" w14:paraId="3F25B394" w14:textId="77777777" w:rsidTr="000D14C2">
        <w:trPr>
          <w:trHeight w:hRule="exact" w:val="284"/>
        </w:trPr>
        <w:tc>
          <w:tcPr>
            <w:tcW w:w="0" w:type="auto"/>
            <w:tcBorders>
              <w:top w:val="nil"/>
              <w:left w:val="nil"/>
              <w:bottom w:val="nil"/>
              <w:right w:val="nil"/>
            </w:tcBorders>
            <w:vAlign w:val="center"/>
            <w:hideMark/>
          </w:tcPr>
          <w:p w14:paraId="0F0790B1" w14:textId="77777777" w:rsidR="000C3E9E" w:rsidRPr="00FE7ADB" w:rsidRDefault="000C3E9E" w:rsidP="00CC52D3">
            <w:pPr>
              <w:widowControl w:val="0"/>
              <w:autoSpaceDE w:val="0"/>
              <w:autoSpaceDN w:val="0"/>
              <w:adjustRightInd w:val="0"/>
              <w:spacing w:line="240" w:lineRule="auto"/>
              <w:jc w:val="both"/>
              <w:rPr>
                <w:rFonts w:ascii="Arial" w:hAnsi="Arial" w:cs="Arial"/>
                <w:color w:val="000000" w:themeColor="text1"/>
                <w:sz w:val="16"/>
                <w:szCs w:val="16"/>
                <w:lang w:val="en-US" w:eastAsia="en-US"/>
              </w:rPr>
            </w:pPr>
            <w:r w:rsidRPr="00FE7ADB">
              <w:rPr>
                <w:rFonts w:ascii="Arial" w:hAnsi="Arial" w:cs="Arial"/>
                <w:sz w:val="16"/>
                <w:szCs w:val="16"/>
              </w:rPr>
              <w:t>Chief</w:t>
            </w:r>
          </w:p>
        </w:tc>
        <w:tc>
          <w:tcPr>
            <w:tcW w:w="0" w:type="auto"/>
            <w:tcBorders>
              <w:top w:val="nil"/>
              <w:left w:val="nil"/>
              <w:bottom w:val="nil"/>
              <w:right w:val="nil"/>
            </w:tcBorders>
            <w:vAlign w:val="center"/>
            <w:hideMark/>
          </w:tcPr>
          <w:p w14:paraId="30468EDF"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-.6</w:t>
            </w:r>
            <w:r w:rsidR="00251D19">
              <w:rPr>
                <w:rFonts w:ascii="Arial" w:hAnsi="Arial" w:cs="Arial"/>
                <w:sz w:val="16"/>
                <w:szCs w:val="16"/>
              </w:rPr>
              <w:t>7</w:t>
            </w:r>
            <w:r w:rsidRPr="00FE7ADB">
              <w:rPr>
                <w:rFonts w:ascii="Arial" w:hAnsi="Arial" w:cs="Arial"/>
                <w:sz w:val="16"/>
                <w:szCs w:val="16"/>
              </w:rPr>
              <w:t>*</w:t>
            </w:r>
          </w:p>
        </w:tc>
        <w:tc>
          <w:tcPr>
            <w:tcW w:w="0" w:type="auto"/>
            <w:tcBorders>
              <w:top w:val="nil"/>
              <w:left w:val="nil"/>
              <w:bottom w:val="nil"/>
              <w:right w:val="nil"/>
            </w:tcBorders>
            <w:vAlign w:val="center"/>
            <w:hideMark/>
          </w:tcPr>
          <w:p w14:paraId="1DE3E02C"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.39</w:t>
            </w:r>
          </w:p>
        </w:tc>
        <w:tc>
          <w:tcPr>
            <w:tcW w:w="0" w:type="auto"/>
            <w:tcBorders>
              <w:top w:val="nil"/>
              <w:left w:val="nil"/>
              <w:bottom w:val="nil"/>
              <w:right w:val="nil"/>
            </w:tcBorders>
            <w:vAlign w:val="center"/>
            <w:hideMark/>
          </w:tcPr>
          <w:p w14:paraId="4A1BC5AF"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0.087</w:t>
            </w:r>
          </w:p>
        </w:tc>
        <w:tc>
          <w:tcPr>
            <w:tcW w:w="0" w:type="auto"/>
            <w:tcBorders>
              <w:top w:val="nil"/>
              <w:left w:val="nil"/>
              <w:bottom w:val="nil"/>
              <w:right w:val="nil"/>
            </w:tcBorders>
            <w:vAlign w:val="center"/>
            <w:hideMark/>
          </w:tcPr>
          <w:p w14:paraId="267BB247"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-.6</w:t>
            </w:r>
            <w:r w:rsidR="00251D19">
              <w:rPr>
                <w:rFonts w:ascii="Arial" w:hAnsi="Arial" w:cs="Arial"/>
                <w:sz w:val="16"/>
                <w:szCs w:val="16"/>
              </w:rPr>
              <w:t>2</w:t>
            </w:r>
          </w:p>
        </w:tc>
        <w:tc>
          <w:tcPr>
            <w:tcW w:w="0" w:type="auto"/>
            <w:tcBorders>
              <w:top w:val="nil"/>
              <w:left w:val="nil"/>
              <w:bottom w:val="nil"/>
              <w:right w:val="nil"/>
            </w:tcBorders>
            <w:vAlign w:val="center"/>
            <w:hideMark/>
          </w:tcPr>
          <w:p w14:paraId="72731040"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.3</w:t>
            </w:r>
            <w:r w:rsidR="00251D19">
              <w:rPr>
                <w:rFonts w:ascii="Arial" w:hAnsi="Arial" w:cs="Arial"/>
                <w:sz w:val="16"/>
                <w:szCs w:val="16"/>
              </w:rPr>
              <w:t>8</w:t>
            </w:r>
          </w:p>
        </w:tc>
        <w:tc>
          <w:tcPr>
            <w:tcW w:w="0" w:type="auto"/>
            <w:tcBorders>
              <w:top w:val="nil"/>
              <w:left w:val="nil"/>
              <w:bottom w:val="nil"/>
              <w:right w:val="nil"/>
            </w:tcBorders>
            <w:vAlign w:val="center"/>
            <w:hideMark/>
          </w:tcPr>
          <w:p w14:paraId="43436BE0"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0.101</w:t>
            </w:r>
          </w:p>
        </w:tc>
        <w:tc>
          <w:tcPr>
            <w:tcW w:w="0" w:type="auto"/>
            <w:tcBorders>
              <w:top w:val="nil"/>
              <w:left w:val="nil"/>
              <w:bottom w:val="nil"/>
              <w:right w:val="nil"/>
            </w:tcBorders>
            <w:vAlign w:val="center"/>
            <w:hideMark/>
          </w:tcPr>
          <w:p w14:paraId="0C8E3756"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-.5</w:t>
            </w:r>
            <w:r w:rsidR="00251D19">
              <w:rPr>
                <w:rFonts w:ascii="Arial" w:hAnsi="Arial" w:cs="Arial"/>
                <w:sz w:val="16"/>
                <w:szCs w:val="16"/>
              </w:rPr>
              <w:t>9</w:t>
            </w:r>
          </w:p>
        </w:tc>
        <w:tc>
          <w:tcPr>
            <w:tcW w:w="0" w:type="auto"/>
            <w:tcBorders>
              <w:top w:val="nil"/>
              <w:left w:val="nil"/>
              <w:bottom w:val="nil"/>
              <w:right w:val="nil"/>
            </w:tcBorders>
            <w:vAlign w:val="center"/>
            <w:hideMark/>
          </w:tcPr>
          <w:p w14:paraId="46ED923E"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.37</w:t>
            </w:r>
          </w:p>
        </w:tc>
        <w:tc>
          <w:tcPr>
            <w:tcW w:w="0" w:type="auto"/>
            <w:tcBorders>
              <w:top w:val="nil"/>
              <w:left w:val="nil"/>
              <w:bottom w:val="nil"/>
              <w:right w:val="nil"/>
            </w:tcBorders>
            <w:vAlign w:val="center"/>
            <w:hideMark/>
          </w:tcPr>
          <w:p w14:paraId="2310309D"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0.11</w:t>
            </w:r>
            <w:r w:rsidR="0026077D">
              <w:rPr>
                <w:rFonts w:ascii="Arial" w:hAnsi="Arial" w:cs="Arial"/>
                <w:sz w:val="16"/>
                <w:szCs w:val="16"/>
              </w:rPr>
              <w:t>0</w:t>
            </w:r>
          </w:p>
        </w:tc>
      </w:tr>
      <w:tr w:rsidR="00251D19" w:rsidRPr="00FE7ADB" w14:paraId="36BBB0AD" w14:textId="77777777" w:rsidTr="000D14C2">
        <w:trPr>
          <w:trHeight w:hRule="exact" w:val="284"/>
        </w:trPr>
        <w:tc>
          <w:tcPr>
            <w:tcW w:w="0" w:type="auto"/>
            <w:tcBorders>
              <w:top w:val="nil"/>
              <w:left w:val="nil"/>
              <w:bottom w:val="single" w:sz="4" w:space="0" w:color="auto"/>
              <w:right w:val="nil"/>
            </w:tcBorders>
            <w:vAlign w:val="center"/>
            <w:hideMark/>
          </w:tcPr>
          <w:p w14:paraId="2467059E" w14:textId="6832C2F3" w:rsidR="000C3E9E" w:rsidRPr="00FE7ADB" w:rsidRDefault="000C3E9E" w:rsidP="00CC52D3">
            <w:pPr>
              <w:widowControl w:val="0"/>
              <w:autoSpaceDE w:val="0"/>
              <w:autoSpaceDN w:val="0"/>
              <w:adjustRightInd w:val="0"/>
              <w:spacing w:line="240" w:lineRule="auto"/>
              <w:jc w:val="both"/>
              <w:rPr>
                <w:rFonts w:ascii="Arial" w:hAnsi="Arial" w:cs="Arial"/>
                <w:color w:val="000000" w:themeColor="text1"/>
                <w:sz w:val="16"/>
                <w:szCs w:val="16"/>
                <w:lang w:val="en-US" w:eastAsia="en-US"/>
              </w:rPr>
            </w:pPr>
            <w:r w:rsidRPr="00FE7ADB">
              <w:rPr>
                <w:rFonts w:ascii="Arial" w:hAnsi="Arial" w:cs="Arial"/>
                <w:sz w:val="16"/>
                <w:szCs w:val="16"/>
              </w:rPr>
              <w:t>Interim</w:t>
            </w:r>
            <w:r w:rsidR="0052431E">
              <w:rPr>
                <w:rFonts w:ascii="Arial" w:hAnsi="Arial" w:cs="Arial"/>
                <w:sz w:val="16"/>
                <w:szCs w:val="16"/>
              </w:rPr>
              <w:t xml:space="preserve"> justice</w:t>
            </w:r>
          </w:p>
        </w:tc>
        <w:tc>
          <w:tcPr>
            <w:tcW w:w="0" w:type="auto"/>
            <w:tcBorders>
              <w:top w:val="nil"/>
              <w:left w:val="nil"/>
              <w:bottom w:val="nil"/>
              <w:right w:val="nil"/>
            </w:tcBorders>
            <w:vAlign w:val="center"/>
            <w:hideMark/>
          </w:tcPr>
          <w:p w14:paraId="1F4F3180"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.11</w:t>
            </w:r>
          </w:p>
        </w:tc>
        <w:tc>
          <w:tcPr>
            <w:tcW w:w="0" w:type="auto"/>
            <w:tcBorders>
              <w:top w:val="nil"/>
              <w:left w:val="nil"/>
              <w:bottom w:val="nil"/>
              <w:right w:val="nil"/>
            </w:tcBorders>
            <w:vAlign w:val="center"/>
            <w:hideMark/>
          </w:tcPr>
          <w:p w14:paraId="3C2AD0B2"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.4</w:t>
            </w:r>
            <w:r w:rsidR="00251D19">
              <w:rPr>
                <w:rFonts w:ascii="Arial" w:hAnsi="Arial" w:cs="Arial"/>
                <w:sz w:val="16"/>
                <w:szCs w:val="16"/>
              </w:rPr>
              <w:t>9</w:t>
            </w:r>
          </w:p>
        </w:tc>
        <w:tc>
          <w:tcPr>
            <w:tcW w:w="0" w:type="auto"/>
            <w:tcBorders>
              <w:top w:val="nil"/>
              <w:left w:val="nil"/>
              <w:bottom w:val="nil"/>
              <w:right w:val="nil"/>
            </w:tcBorders>
            <w:vAlign w:val="center"/>
            <w:hideMark/>
          </w:tcPr>
          <w:p w14:paraId="5195044B" w14:textId="77777777" w:rsidR="000C3E9E" w:rsidRPr="00FE7ADB" w:rsidRDefault="00251D19"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Pr>
                <w:rFonts w:ascii="Arial" w:hAnsi="Arial" w:cs="Arial"/>
                <w:sz w:val="16"/>
                <w:szCs w:val="16"/>
              </w:rPr>
              <w:t>0</w:t>
            </w:r>
            <w:r w:rsidR="000C3E9E" w:rsidRPr="00FE7ADB">
              <w:rPr>
                <w:rFonts w:ascii="Arial" w:hAnsi="Arial" w:cs="Arial"/>
                <w:sz w:val="16"/>
                <w:szCs w:val="16"/>
              </w:rPr>
              <w:t>.815</w:t>
            </w:r>
          </w:p>
        </w:tc>
        <w:tc>
          <w:tcPr>
            <w:tcW w:w="0" w:type="auto"/>
            <w:tcBorders>
              <w:top w:val="nil"/>
              <w:left w:val="nil"/>
              <w:bottom w:val="nil"/>
              <w:right w:val="nil"/>
            </w:tcBorders>
            <w:vAlign w:val="center"/>
          </w:tcPr>
          <w:p w14:paraId="5CD2A3F6"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17E8F1BB"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5E8E52D9"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150D265A"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3485042B"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6DFDA54F"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r>
      <w:tr w:rsidR="00251D19" w:rsidRPr="00FE7ADB" w14:paraId="1FE5D00A" w14:textId="77777777" w:rsidTr="000D14C2">
        <w:trPr>
          <w:trHeight w:hRule="exact" w:val="284"/>
        </w:trPr>
        <w:tc>
          <w:tcPr>
            <w:tcW w:w="0" w:type="auto"/>
            <w:tcBorders>
              <w:top w:val="single" w:sz="4" w:space="0" w:color="auto"/>
              <w:left w:val="nil"/>
              <w:bottom w:val="nil"/>
              <w:right w:val="nil"/>
            </w:tcBorders>
            <w:vAlign w:val="center"/>
            <w:hideMark/>
          </w:tcPr>
          <w:p w14:paraId="5975A2C1" w14:textId="77777777" w:rsidR="000C3E9E" w:rsidRPr="00FE7ADB" w:rsidRDefault="000C3E9E" w:rsidP="00CC52D3">
            <w:pPr>
              <w:widowControl w:val="0"/>
              <w:autoSpaceDE w:val="0"/>
              <w:autoSpaceDN w:val="0"/>
              <w:adjustRightInd w:val="0"/>
              <w:spacing w:line="240" w:lineRule="auto"/>
              <w:jc w:val="both"/>
              <w:rPr>
                <w:rFonts w:ascii="Arial" w:hAnsi="Arial" w:cs="Arial"/>
                <w:b/>
                <w:color w:val="000000" w:themeColor="text1"/>
                <w:sz w:val="16"/>
                <w:szCs w:val="16"/>
                <w:lang w:val="en-US" w:eastAsia="en-US"/>
              </w:rPr>
            </w:pPr>
            <w:r w:rsidRPr="00FE7ADB">
              <w:rPr>
                <w:rFonts w:ascii="Arial" w:hAnsi="Arial" w:cs="Arial"/>
                <w:b/>
                <w:sz w:val="16"/>
                <w:szCs w:val="16"/>
              </w:rPr>
              <w:t>Panel level</w:t>
            </w:r>
          </w:p>
        </w:tc>
        <w:tc>
          <w:tcPr>
            <w:tcW w:w="0" w:type="auto"/>
            <w:tcBorders>
              <w:top w:val="nil"/>
              <w:left w:val="nil"/>
              <w:bottom w:val="nil"/>
              <w:right w:val="nil"/>
            </w:tcBorders>
            <w:vAlign w:val="center"/>
          </w:tcPr>
          <w:p w14:paraId="10F1B203"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2346E626"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71F7F719"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50CF7C3B"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42DDD0E7"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52A41638"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7BF5362F"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092CB319"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12DF69AD"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r>
      <w:tr w:rsidR="00251D19" w:rsidRPr="00FE7ADB" w14:paraId="4E56C774" w14:textId="77777777" w:rsidTr="000D14C2">
        <w:trPr>
          <w:trHeight w:hRule="exact" w:val="284"/>
        </w:trPr>
        <w:tc>
          <w:tcPr>
            <w:tcW w:w="0" w:type="auto"/>
            <w:tcBorders>
              <w:top w:val="nil"/>
              <w:left w:val="nil"/>
              <w:bottom w:val="nil"/>
              <w:right w:val="nil"/>
            </w:tcBorders>
            <w:vAlign w:val="center"/>
            <w:hideMark/>
          </w:tcPr>
          <w:p w14:paraId="4E6AE054" w14:textId="77777777" w:rsidR="000C3E9E" w:rsidRPr="00FE7ADB" w:rsidRDefault="000C3E9E" w:rsidP="00CC52D3">
            <w:pPr>
              <w:widowControl w:val="0"/>
              <w:autoSpaceDE w:val="0"/>
              <w:autoSpaceDN w:val="0"/>
              <w:adjustRightInd w:val="0"/>
              <w:spacing w:line="240" w:lineRule="auto"/>
              <w:jc w:val="both"/>
              <w:rPr>
                <w:rFonts w:ascii="Arial" w:hAnsi="Arial" w:cs="Arial"/>
                <w:color w:val="000000" w:themeColor="text1"/>
                <w:sz w:val="16"/>
                <w:szCs w:val="16"/>
                <w:lang w:val="en-US" w:eastAsia="en-US"/>
              </w:rPr>
            </w:pPr>
            <w:r w:rsidRPr="00FE7ADB">
              <w:rPr>
                <w:rFonts w:ascii="Arial" w:hAnsi="Arial" w:cs="Arial"/>
                <w:sz w:val="16"/>
                <w:szCs w:val="16"/>
              </w:rPr>
              <w:t>SocDemMajority</w:t>
            </w:r>
          </w:p>
        </w:tc>
        <w:tc>
          <w:tcPr>
            <w:tcW w:w="0" w:type="auto"/>
            <w:tcBorders>
              <w:top w:val="nil"/>
              <w:left w:val="nil"/>
              <w:bottom w:val="nil"/>
              <w:right w:val="nil"/>
            </w:tcBorders>
            <w:vAlign w:val="center"/>
          </w:tcPr>
          <w:p w14:paraId="752CE867"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56DCBB37"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6D071A4C"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hideMark/>
          </w:tcPr>
          <w:p w14:paraId="4488D656"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1.</w:t>
            </w:r>
            <w:r w:rsidR="00251D19">
              <w:rPr>
                <w:rFonts w:ascii="Arial" w:hAnsi="Arial" w:cs="Arial"/>
                <w:sz w:val="16"/>
                <w:szCs w:val="16"/>
              </w:rPr>
              <w:t>20</w:t>
            </w:r>
            <w:r w:rsidRPr="00FE7ADB">
              <w:rPr>
                <w:rFonts w:ascii="Arial" w:hAnsi="Arial" w:cs="Arial"/>
                <w:sz w:val="16"/>
                <w:szCs w:val="16"/>
              </w:rPr>
              <w:t>*</w:t>
            </w:r>
          </w:p>
        </w:tc>
        <w:tc>
          <w:tcPr>
            <w:tcW w:w="0" w:type="auto"/>
            <w:tcBorders>
              <w:top w:val="nil"/>
              <w:left w:val="nil"/>
              <w:bottom w:val="nil"/>
              <w:right w:val="nil"/>
            </w:tcBorders>
            <w:vAlign w:val="center"/>
            <w:hideMark/>
          </w:tcPr>
          <w:p w14:paraId="50937D7A"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w:t>
            </w:r>
            <w:r w:rsidR="00251D19">
              <w:rPr>
                <w:rFonts w:ascii="Arial" w:hAnsi="Arial" w:cs="Arial"/>
                <w:sz w:val="16"/>
                <w:szCs w:val="16"/>
              </w:rPr>
              <w:t>70</w:t>
            </w:r>
          </w:p>
        </w:tc>
        <w:tc>
          <w:tcPr>
            <w:tcW w:w="0" w:type="auto"/>
            <w:tcBorders>
              <w:top w:val="nil"/>
              <w:left w:val="nil"/>
              <w:bottom w:val="nil"/>
              <w:right w:val="nil"/>
            </w:tcBorders>
            <w:vAlign w:val="center"/>
            <w:hideMark/>
          </w:tcPr>
          <w:p w14:paraId="4541A22A"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0.085</w:t>
            </w:r>
          </w:p>
        </w:tc>
        <w:tc>
          <w:tcPr>
            <w:tcW w:w="0" w:type="auto"/>
            <w:tcBorders>
              <w:top w:val="nil"/>
              <w:left w:val="nil"/>
              <w:bottom w:val="nil"/>
              <w:right w:val="nil"/>
            </w:tcBorders>
            <w:vAlign w:val="center"/>
            <w:hideMark/>
          </w:tcPr>
          <w:p w14:paraId="01F6EDDE"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1.0</w:t>
            </w:r>
            <w:r w:rsidR="00251D19">
              <w:rPr>
                <w:rFonts w:ascii="Arial" w:hAnsi="Arial" w:cs="Arial"/>
                <w:sz w:val="16"/>
                <w:szCs w:val="16"/>
              </w:rPr>
              <w:t>3</w:t>
            </w:r>
            <w:r w:rsidRPr="00FE7ADB">
              <w:rPr>
                <w:rFonts w:ascii="Arial" w:hAnsi="Arial" w:cs="Arial"/>
                <w:sz w:val="16"/>
                <w:szCs w:val="16"/>
              </w:rPr>
              <w:t>*</w:t>
            </w:r>
          </w:p>
        </w:tc>
        <w:tc>
          <w:tcPr>
            <w:tcW w:w="0" w:type="auto"/>
            <w:tcBorders>
              <w:top w:val="nil"/>
              <w:left w:val="nil"/>
              <w:bottom w:val="nil"/>
              <w:right w:val="nil"/>
            </w:tcBorders>
            <w:vAlign w:val="center"/>
            <w:hideMark/>
          </w:tcPr>
          <w:p w14:paraId="7910117F"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w:t>
            </w:r>
            <w:r w:rsidR="00251D19">
              <w:rPr>
                <w:rFonts w:ascii="Arial" w:hAnsi="Arial" w:cs="Arial"/>
                <w:sz w:val="16"/>
                <w:szCs w:val="16"/>
              </w:rPr>
              <w:t>60</w:t>
            </w:r>
          </w:p>
        </w:tc>
        <w:tc>
          <w:tcPr>
            <w:tcW w:w="0" w:type="auto"/>
            <w:tcBorders>
              <w:top w:val="nil"/>
              <w:left w:val="nil"/>
              <w:bottom w:val="nil"/>
              <w:right w:val="nil"/>
            </w:tcBorders>
            <w:vAlign w:val="center"/>
            <w:hideMark/>
          </w:tcPr>
          <w:p w14:paraId="787C29A6"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0.086</w:t>
            </w:r>
          </w:p>
        </w:tc>
      </w:tr>
      <w:tr w:rsidR="00251D19" w:rsidRPr="00FE7ADB" w14:paraId="1BD4D808" w14:textId="77777777" w:rsidTr="000D14C2">
        <w:trPr>
          <w:trHeight w:hRule="exact" w:val="284"/>
        </w:trPr>
        <w:tc>
          <w:tcPr>
            <w:tcW w:w="0" w:type="auto"/>
            <w:tcBorders>
              <w:top w:val="nil"/>
              <w:left w:val="nil"/>
              <w:bottom w:val="nil"/>
              <w:right w:val="nil"/>
            </w:tcBorders>
            <w:vAlign w:val="center"/>
            <w:hideMark/>
          </w:tcPr>
          <w:p w14:paraId="722E9A9C" w14:textId="77777777" w:rsidR="000C3E9E" w:rsidRPr="00FE7ADB" w:rsidRDefault="000C3E9E" w:rsidP="00CC52D3">
            <w:pPr>
              <w:widowControl w:val="0"/>
              <w:autoSpaceDE w:val="0"/>
              <w:autoSpaceDN w:val="0"/>
              <w:adjustRightInd w:val="0"/>
              <w:spacing w:line="240" w:lineRule="auto"/>
              <w:jc w:val="both"/>
              <w:rPr>
                <w:rFonts w:ascii="Arial" w:hAnsi="Arial" w:cs="Arial"/>
                <w:color w:val="000000" w:themeColor="text1"/>
                <w:sz w:val="16"/>
                <w:szCs w:val="16"/>
                <w:lang w:val="en-US" w:eastAsia="en-US"/>
              </w:rPr>
            </w:pPr>
            <w:r w:rsidRPr="00FE7ADB">
              <w:rPr>
                <w:rFonts w:ascii="Arial" w:hAnsi="Arial" w:cs="Arial"/>
                <w:sz w:val="16"/>
                <w:szCs w:val="16"/>
              </w:rPr>
              <w:t>PrivPractMajority</w:t>
            </w:r>
          </w:p>
        </w:tc>
        <w:tc>
          <w:tcPr>
            <w:tcW w:w="0" w:type="auto"/>
            <w:tcBorders>
              <w:top w:val="nil"/>
              <w:left w:val="nil"/>
              <w:bottom w:val="nil"/>
              <w:right w:val="nil"/>
            </w:tcBorders>
            <w:vAlign w:val="center"/>
          </w:tcPr>
          <w:p w14:paraId="00EE3AFA"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4E59364D"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4F850BA1"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hideMark/>
          </w:tcPr>
          <w:p w14:paraId="3E1BF4C2"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-.36</w:t>
            </w:r>
          </w:p>
        </w:tc>
        <w:tc>
          <w:tcPr>
            <w:tcW w:w="0" w:type="auto"/>
            <w:tcBorders>
              <w:top w:val="nil"/>
              <w:left w:val="nil"/>
              <w:bottom w:val="nil"/>
              <w:right w:val="nil"/>
            </w:tcBorders>
            <w:vAlign w:val="center"/>
            <w:hideMark/>
          </w:tcPr>
          <w:p w14:paraId="51898513"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.64</w:t>
            </w:r>
          </w:p>
        </w:tc>
        <w:tc>
          <w:tcPr>
            <w:tcW w:w="0" w:type="auto"/>
            <w:tcBorders>
              <w:top w:val="nil"/>
              <w:left w:val="nil"/>
              <w:bottom w:val="nil"/>
              <w:right w:val="nil"/>
            </w:tcBorders>
            <w:vAlign w:val="center"/>
            <w:hideMark/>
          </w:tcPr>
          <w:p w14:paraId="23C31880"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0.570</w:t>
            </w:r>
          </w:p>
        </w:tc>
        <w:tc>
          <w:tcPr>
            <w:tcW w:w="0" w:type="auto"/>
            <w:tcBorders>
              <w:top w:val="nil"/>
              <w:left w:val="nil"/>
              <w:bottom w:val="nil"/>
              <w:right w:val="nil"/>
            </w:tcBorders>
            <w:vAlign w:val="center"/>
          </w:tcPr>
          <w:p w14:paraId="0E8F9DE0"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36A856C5"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73158679"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r>
      <w:tr w:rsidR="00251D19" w:rsidRPr="00FE7ADB" w14:paraId="302EE0C5" w14:textId="77777777" w:rsidTr="000D14C2">
        <w:trPr>
          <w:trHeight w:hRule="exact" w:val="284"/>
        </w:trPr>
        <w:tc>
          <w:tcPr>
            <w:tcW w:w="0" w:type="auto"/>
            <w:tcBorders>
              <w:top w:val="nil"/>
              <w:left w:val="nil"/>
              <w:bottom w:val="nil"/>
              <w:right w:val="nil"/>
            </w:tcBorders>
            <w:vAlign w:val="center"/>
            <w:hideMark/>
          </w:tcPr>
          <w:p w14:paraId="4F7058FD" w14:textId="77777777" w:rsidR="000C3E9E" w:rsidRPr="00FE7ADB" w:rsidRDefault="000C3E9E" w:rsidP="00CC52D3">
            <w:pPr>
              <w:widowControl w:val="0"/>
              <w:autoSpaceDE w:val="0"/>
              <w:autoSpaceDN w:val="0"/>
              <w:adjustRightInd w:val="0"/>
              <w:spacing w:line="240" w:lineRule="auto"/>
              <w:jc w:val="both"/>
              <w:rPr>
                <w:rFonts w:ascii="Arial" w:hAnsi="Arial" w:cs="Arial"/>
                <w:color w:val="000000" w:themeColor="text1"/>
                <w:sz w:val="16"/>
                <w:szCs w:val="16"/>
                <w:lang w:val="en-US" w:eastAsia="en-US"/>
              </w:rPr>
            </w:pPr>
            <w:r w:rsidRPr="00FE7ADB">
              <w:rPr>
                <w:rFonts w:ascii="Arial" w:hAnsi="Arial" w:cs="Arial"/>
                <w:sz w:val="16"/>
                <w:szCs w:val="16"/>
              </w:rPr>
              <w:t>LawProfMajority</w:t>
            </w:r>
          </w:p>
        </w:tc>
        <w:tc>
          <w:tcPr>
            <w:tcW w:w="0" w:type="auto"/>
            <w:tcBorders>
              <w:top w:val="nil"/>
              <w:left w:val="nil"/>
              <w:bottom w:val="nil"/>
              <w:right w:val="nil"/>
            </w:tcBorders>
            <w:vAlign w:val="center"/>
          </w:tcPr>
          <w:p w14:paraId="2412B096"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7C0D39B0"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226B14EB"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hideMark/>
          </w:tcPr>
          <w:p w14:paraId="010E3824"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.6</w:t>
            </w:r>
            <w:r w:rsidR="00251D19">
              <w:rPr>
                <w:rFonts w:ascii="Arial" w:hAnsi="Arial" w:cs="Arial"/>
                <w:sz w:val="16"/>
                <w:szCs w:val="16"/>
              </w:rPr>
              <w:t>5</w:t>
            </w:r>
          </w:p>
        </w:tc>
        <w:tc>
          <w:tcPr>
            <w:tcW w:w="0" w:type="auto"/>
            <w:tcBorders>
              <w:top w:val="nil"/>
              <w:left w:val="nil"/>
              <w:bottom w:val="nil"/>
              <w:right w:val="nil"/>
            </w:tcBorders>
            <w:vAlign w:val="center"/>
            <w:hideMark/>
          </w:tcPr>
          <w:p w14:paraId="198C7C78"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2.36</w:t>
            </w:r>
          </w:p>
        </w:tc>
        <w:tc>
          <w:tcPr>
            <w:tcW w:w="0" w:type="auto"/>
            <w:tcBorders>
              <w:top w:val="nil"/>
              <w:left w:val="nil"/>
              <w:bottom w:val="nil"/>
              <w:right w:val="nil"/>
            </w:tcBorders>
            <w:vAlign w:val="center"/>
            <w:hideMark/>
          </w:tcPr>
          <w:p w14:paraId="3D8FD4B2"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0.783</w:t>
            </w:r>
          </w:p>
        </w:tc>
        <w:tc>
          <w:tcPr>
            <w:tcW w:w="0" w:type="auto"/>
            <w:tcBorders>
              <w:top w:val="nil"/>
              <w:left w:val="nil"/>
              <w:bottom w:val="nil"/>
              <w:right w:val="nil"/>
            </w:tcBorders>
            <w:vAlign w:val="center"/>
          </w:tcPr>
          <w:p w14:paraId="51DF927B"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09036ABA"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63222694"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r>
      <w:tr w:rsidR="00251D19" w:rsidRPr="00FE7ADB" w14:paraId="577EF7E5" w14:textId="77777777" w:rsidTr="000D14C2">
        <w:trPr>
          <w:trHeight w:hRule="exact" w:val="284"/>
        </w:trPr>
        <w:tc>
          <w:tcPr>
            <w:tcW w:w="0" w:type="auto"/>
            <w:tcBorders>
              <w:top w:val="nil"/>
              <w:left w:val="nil"/>
              <w:bottom w:val="nil"/>
              <w:right w:val="nil"/>
            </w:tcBorders>
            <w:vAlign w:val="center"/>
            <w:hideMark/>
          </w:tcPr>
          <w:p w14:paraId="1171B9B7" w14:textId="77777777" w:rsidR="000C3E9E" w:rsidRPr="00FE7ADB" w:rsidRDefault="000C3E9E" w:rsidP="00CC52D3">
            <w:pPr>
              <w:widowControl w:val="0"/>
              <w:autoSpaceDE w:val="0"/>
              <w:autoSpaceDN w:val="0"/>
              <w:adjustRightInd w:val="0"/>
              <w:spacing w:line="240" w:lineRule="auto"/>
              <w:jc w:val="both"/>
              <w:rPr>
                <w:rFonts w:ascii="Arial" w:hAnsi="Arial" w:cs="Arial"/>
                <w:color w:val="000000" w:themeColor="text1"/>
                <w:sz w:val="16"/>
                <w:szCs w:val="16"/>
                <w:lang w:val="en-US" w:eastAsia="en-US"/>
              </w:rPr>
            </w:pPr>
            <w:r w:rsidRPr="00FE7ADB">
              <w:rPr>
                <w:rFonts w:ascii="Arial" w:hAnsi="Arial" w:cs="Arial"/>
                <w:sz w:val="16"/>
                <w:szCs w:val="16"/>
              </w:rPr>
              <w:t>GovAdvMajority</w:t>
            </w:r>
          </w:p>
        </w:tc>
        <w:tc>
          <w:tcPr>
            <w:tcW w:w="0" w:type="auto"/>
            <w:tcBorders>
              <w:top w:val="nil"/>
              <w:left w:val="nil"/>
              <w:bottom w:val="nil"/>
              <w:right w:val="nil"/>
            </w:tcBorders>
            <w:vAlign w:val="center"/>
          </w:tcPr>
          <w:p w14:paraId="52EE5448"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1C242DD8"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32FF6939"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hideMark/>
          </w:tcPr>
          <w:p w14:paraId="0B747A90"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.81</w:t>
            </w:r>
          </w:p>
        </w:tc>
        <w:tc>
          <w:tcPr>
            <w:tcW w:w="0" w:type="auto"/>
            <w:tcBorders>
              <w:top w:val="nil"/>
              <w:left w:val="nil"/>
              <w:bottom w:val="nil"/>
              <w:right w:val="nil"/>
            </w:tcBorders>
            <w:vAlign w:val="center"/>
            <w:hideMark/>
          </w:tcPr>
          <w:p w14:paraId="0E8EAB66"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.78</w:t>
            </w:r>
          </w:p>
        </w:tc>
        <w:tc>
          <w:tcPr>
            <w:tcW w:w="0" w:type="auto"/>
            <w:tcBorders>
              <w:top w:val="nil"/>
              <w:left w:val="nil"/>
              <w:bottom w:val="nil"/>
              <w:right w:val="nil"/>
            </w:tcBorders>
            <w:vAlign w:val="center"/>
            <w:hideMark/>
          </w:tcPr>
          <w:p w14:paraId="12522DAB"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0.299</w:t>
            </w:r>
          </w:p>
        </w:tc>
        <w:tc>
          <w:tcPr>
            <w:tcW w:w="0" w:type="auto"/>
            <w:tcBorders>
              <w:top w:val="nil"/>
              <w:left w:val="nil"/>
              <w:bottom w:val="nil"/>
              <w:right w:val="nil"/>
            </w:tcBorders>
            <w:vAlign w:val="center"/>
          </w:tcPr>
          <w:p w14:paraId="75AEA2C7"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47A7AC32"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0685D668"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r>
      <w:tr w:rsidR="00251D19" w:rsidRPr="00FE7ADB" w14:paraId="1C6347DA" w14:textId="77777777" w:rsidTr="000D14C2">
        <w:trPr>
          <w:trHeight w:hRule="exact" w:val="284"/>
        </w:trPr>
        <w:tc>
          <w:tcPr>
            <w:tcW w:w="0" w:type="auto"/>
            <w:tcBorders>
              <w:top w:val="nil"/>
              <w:left w:val="nil"/>
              <w:bottom w:val="nil"/>
              <w:right w:val="nil"/>
            </w:tcBorders>
            <w:vAlign w:val="center"/>
            <w:hideMark/>
          </w:tcPr>
          <w:p w14:paraId="3CF8FB29" w14:textId="2F0B065F" w:rsidR="000C3E9E" w:rsidRPr="00FE7ADB" w:rsidRDefault="000C3E9E" w:rsidP="0052431E">
            <w:pPr>
              <w:widowControl w:val="0"/>
              <w:autoSpaceDE w:val="0"/>
              <w:autoSpaceDN w:val="0"/>
              <w:adjustRightInd w:val="0"/>
              <w:spacing w:line="240" w:lineRule="auto"/>
              <w:jc w:val="both"/>
              <w:rPr>
                <w:rFonts w:ascii="Arial" w:hAnsi="Arial" w:cs="Arial"/>
                <w:color w:val="000000" w:themeColor="text1"/>
                <w:sz w:val="16"/>
                <w:szCs w:val="16"/>
                <w:lang w:val="en-US" w:eastAsia="en-US"/>
              </w:rPr>
            </w:pPr>
            <w:r w:rsidRPr="00FE7ADB">
              <w:rPr>
                <w:rFonts w:ascii="Arial" w:hAnsi="Arial" w:cs="Arial"/>
                <w:sz w:val="16"/>
                <w:szCs w:val="16"/>
              </w:rPr>
              <w:t>L</w:t>
            </w:r>
            <w:r w:rsidR="0052431E">
              <w:rPr>
                <w:rFonts w:ascii="Arial" w:hAnsi="Arial" w:cs="Arial"/>
                <w:sz w:val="16"/>
                <w:szCs w:val="16"/>
              </w:rPr>
              <w:t>eg</w:t>
            </w:r>
            <w:r w:rsidRPr="00FE7ADB">
              <w:rPr>
                <w:rFonts w:ascii="Arial" w:hAnsi="Arial" w:cs="Arial"/>
                <w:sz w:val="16"/>
                <w:szCs w:val="16"/>
              </w:rPr>
              <w:t>DepMaj</w:t>
            </w:r>
          </w:p>
        </w:tc>
        <w:tc>
          <w:tcPr>
            <w:tcW w:w="0" w:type="auto"/>
            <w:tcBorders>
              <w:top w:val="nil"/>
              <w:left w:val="nil"/>
              <w:bottom w:val="nil"/>
              <w:right w:val="nil"/>
            </w:tcBorders>
            <w:vAlign w:val="center"/>
          </w:tcPr>
          <w:p w14:paraId="36C82E1C"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389DB653"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156852F0"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hideMark/>
          </w:tcPr>
          <w:p w14:paraId="5E429149"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.5</w:t>
            </w:r>
            <w:r w:rsidR="00251D19">
              <w:rPr>
                <w:rFonts w:ascii="Arial" w:hAnsi="Arial" w:cs="Arial"/>
                <w:sz w:val="16"/>
                <w:szCs w:val="16"/>
              </w:rPr>
              <w:t>9</w:t>
            </w:r>
          </w:p>
        </w:tc>
        <w:tc>
          <w:tcPr>
            <w:tcW w:w="0" w:type="auto"/>
            <w:tcBorders>
              <w:top w:val="nil"/>
              <w:left w:val="nil"/>
              <w:bottom w:val="nil"/>
              <w:right w:val="nil"/>
            </w:tcBorders>
            <w:vAlign w:val="center"/>
            <w:hideMark/>
          </w:tcPr>
          <w:p w14:paraId="3ACC7E07"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.59</w:t>
            </w:r>
          </w:p>
        </w:tc>
        <w:tc>
          <w:tcPr>
            <w:tcW w:w="0" w:type="auto"/>
            <w:tcBorders>
              <w:top w:val="nil"/>
              <w:left w:val="nil"/>
              <w:bottom w:val="nil"/>
              <w:right w:val="nil"/>
            </w:tcBorders>
            <w:vAlign w:val="center"/>
            <w:hideMark/>
          </w:tcPr>
          <w:p w14:paraId="520BAA95"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0.324</w:t>
            </w:r>
          </w:p>
        </w:tc>
        <w:tc>
          <w:tcPr>
            <w:tcW w:w="0" w:type="auto"/>
            <w:tcBorders>
              <w:top w:val="nil"/>
              <w:left w:val="nil"/>
              <w:bottom w:val="nil"/>
              <w:right w:val="nil"/>
            </w:tcBorders>
            <w:vAlign w:val="center"/>
          </w:tcPr>
          <w:p w14:paraId="249C0061"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0FC75272"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6CB2A4A5"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r>
      <w:tr w:rsidR="00251D19" w:rsidRPr="00FE7ADB" w14:paraId="05F9380F" w14:textId="77777777" w:rsidTr="000D14C2">
        <w:trPr>
          <w:trHeight w:hRule="exact" w:val="284"/>
        </w:trPr>
        <w:tc>
          <w:tcPr>
            <w:tcW w:w="0" w:type="auto"/>
            <w:tcBorders>
              <w:top w:val="nil"/>
              <w:left w:val="nil"/>
              <w:bottom w:val="nil"/>
              <w:right w:val="nil"/>
            </w:tcBorders>
            <w:vAlign w:val="center"/>
            <w:hideMark/>
          </w:tcPr>
          <w:p w14:paraId="27C83E0E" w14:textId="5BB70A2B" w:rsidR="000C3E9E" w:rsidRPr="00FE7ADB" w:rsidRDefault="0052431E" w:rsidP="00CC52D3">
            <w:pPr>
              <w:widowControl w:val="0"/>
              <w:autoSpaceDE w:val="0"/>
              <w:autoSpaceDN w:val="0"/>
              <w:adjustRightInd w:val="0"/>
              <w:spacing w:line="240" w:lineRule="auto"/>
              <w:jc w:val="both"/>
              <w:rPr>
                <w:rFonts w:ascii="Arial" w:hAnsi="Arial" w:cs="Arial"/>
                <w:color w:val="000000" w:themeColor="text1"/>
                <w:sz w:val="16"/>
                <w:szCs w:val="16"/>
                <w:lang w:val="en-US" w:eastAsia="en-US"/>
              </w:rPr>
            </w:pPr>
            <w:r>
              <w:rPr>
                <w:rFonts w:ascii="Arial" w:hAnsi="Arial" w:cs="Arial"/>
                <w:sz w:val="16"/>
                <w:szCs w:val="16"/>
              </w:rPr>
              <w:t>Women</w:t>
            </w:r>
            <w:r w:rsidR="000C3E9E" w:rsidRPr="00FE7ADB">
              <w:rPr>
                <w:rFonts w:ascii="Arial" w:hAnsi="Arial" w:cs="Arial"/>
                <w:sz w:val="16"/>
                <w:szCs w:val="16"/>
              </w:rPr>
              <w:t>Majority</w:t>
            </w:r>
          </w:p>
        </w:tc>
        <w:tc>
          <w:tcPr>
            <w:tcW w:w="0" w:type="auto"/>
            <w:tcBorders>
              <w:top w:val="nil"/>
              <w:left w:val="nil"/>
              <w:bottom w:val="nil"/>
              <w:right w:val="nil"/>
            </w:tcBorders>
            <w:vAlign w:val="center"/>
          </w:tcPr>
          <w:p w14:paraId="480159FB"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76E5C32E"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677DA31C"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hideMark/>
          </w:tcPr>
          <w:p w14:paraId="59E75C7C"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-2.80**</w:t>
            </w:r>
          </w:p>
        </w:tc>
        <w:tc>
          <w:tcPr>
            <w:tcW w:w="0" w:type="auto"/>
            <w:tcBorders>
              <w:top w:val="nil"/>
              <w:left w:val="nil"/>
              <w:bottom w:val="nil"/>
              <w:right w:val="nil"/>
            </w:tcBorders>
            <w:vAlign w:val="center"/>
            <w:hideMark/>
          </w:tcPr>
          <w:p w14:paraId="1BD3EFCB"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1.1</w:t>
            </w:r>
            <w:r w:rsidR="00251D19">
              <w:rPr>
                <w:rFonts w:ascii="Arial" w:hAnsi="Arial" w:cs="Arial"/>
                <w:sz w:val="16"/>
                <w:szCs w:val="16"/>
              </w:rPr>
              <w:t>8</w:t>
            </w:r>
          </w:p>
        </w:tc>
        <w:tc>
          <w:tcPr>
            <w:tcW w:w="0" w:type="auto"/>
            <w:tcBorders>
              <w:top w:val="nil"/>
              <w:left w:val="nil"/>
              <w:bottom w:val="nil"/>
              <w:right w:val="nil"/>
            </w:tcBorders>
            <w:vAlign w:val="center"/>
            <w:hideMark/>
          </w:tcPr>
          <w:p w14:paraId="2CA3040E"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0.017</w:t>
            </w:r>
          </w:p>
        </w:tc>
        <w:tc>
          <w:tcPr>
            <w:tcW w:w="0" w:type="auto"/>
            <w:tcBorders>
              <w:top w:val="nil"/>
              <w:left w:val="nil"/>
              <w:bottom w:val="nil"/>
              <w:right w:val="nil"/>
            </w:tcBorders>
            <w:vAlign w:val="center"/>
            <w:hideMark/>
          </w:tcPr>
          <w:p w14:paraId="04DF679A"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-2.18**</w:t>
            </w:r>
          </w:p>
        </w:tc>
        <w:tc>
          <w:tcPr>
            <w:tcW w:w="0" w:type="auto"/>
            <w:tcBorders>
              <w:top w:val="nil"/>
              <w:left w:val="nil"/>
              <w:bottom w:val="nil"/>
              <w:right w:val="nil"/>
            </w:tcBorders>
            <w:vAlign w:val="center"/>
            <w:hideMark/>
          </w:tcPr>
          <w:p w14:paraId="0996429C"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1.00</w:t>
            </w:r>
          </w:p>
        </w:tc>
        <w:tc>
          <w:tcPr>
            <w:tcW w:w="0" w:type="auto"/>
            <w:tcBorders>
              <w:top w:val="nil"/>
              <w:left w:val="nil"/>
              <w:bottom w:val="nil"/>
              <w:right w:val="nil"/>
            </w:tcBorders>
            <w:vAlign w:val="center"/>
            <w:hideMark/>
          </w:tcPr>
          <w:p w14:paraId="64860EF8"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0.030</w:t>
            </w:r>
          </w:p>
        </w:tc>
      </w:tr>
      <w:tr w:rsidR="00251D19" w:rsidRPr="00FE7ADB" w14:paraId="5DE5916F" w14:textId="77777777" w:rsidTr="000D14C2">
        <w:trPr>
          <w:trHeight w:hRule="exact" w:val="284"/>
        </w:trPr>
        <w:tc>
          <w:tcPr>
            <w:tcW w:w="0" w:type="auto"/>
            <w:tcBorders>
              <w:top w:val="nil"/>
              <w:left w:val="nil"/>
              <w:bottom w:val="nil"/>
              <w:right w:val="nil"/>
            </w:tcBorders>
            <w:vAlign w:val="center"/>
            <w:hideMark/>
          </w:tcPr>
          <w:p w14:paraId="44E84382" w14:textId="77777777" w:rsidR="000C3E9E" w:rsidRPr="00FE7ADB" w:rsidRDefault="000C3E9E" w:rsidP="00CC52D3">
            <w:pPr>
              <w:widowControl w:val="0"/>
              <w:autoSpaceDE w:val="0"/>
              <w:autoSpaceDN w:val="0"/>
              <w:adjustRightInd w:val="0"/>
              <w:spacing w:line="240" w:lineRule="auto"/>
              <w:jc w:val="both"/>
              <w:rPr>
                <w:rFonts w:ascii="Arial" w:hAnsi="Arial" w:cs="Arial"/>
                <w:color w:val="000000" w:themeColor="text1"/>
                <w:sz w:val="16"/>
                <w:szCs w:val="16"/>
                <w:lang w:val="en-US" w:eastAsia="en-US"/>
              </w:rPr>
            </w:pPr>
            <w:r w:rsidRPr="00FE7ADB">
              <w:rPr>
                <w:rFonts w:ascii="Arial" w:hAnsi="Arial" w:cs="Arial"/>
                <w:sz w:val="16"/>
                <w:szCs w:val="16"/>
              </w:rPr>
              <w:t>OsloMajority</w:t>
            </w:r>
          </w:p>
        </w:tc>
        <w:tc>
          <w:tcPr>
            <w:tcW w:w="0" w:type="auto"/>
            <w:tcBorders>
              <w:top w:val="nil"/>
              <w:left w:val="nil"/>
              <w:bottom w:val="nil"/>
              <w:right w:val="nil"/>
            </w:tcBorders>
            <w:vAlign w:val="center"/>
          </w:tcPr>
          <w:p w14:paraId="1D72A493"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522066C8"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4013D628"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hideMark/>
          </w:tcPr>
          <w:p w14:paraId="540B8BA8"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.20</w:t>
            </w:r>
          </w:p>
        </w:tc>
        <w:tc>
          <w:tcPr>
            <w:tcW w:w="0" w:type="auto"/>
            <w:tcBorders>
              <w:top w:val="nil"/>
              <w:left w:val="nil"/>
              <w:bottom w:val="nil"/>
              <w:right w:val="nil"/>
            </w:tcBorders>
            <w:vAlign w:val="center"/>
            <w:hideMark/>
          </w:tcPr>
          <w:p w14:paraId="59F97EAD"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.5</w:t>
            </w:r>
            <w:r w:rsidR="00251D19">
              <w:rPr>
                <w:rFonts w:ascii="Arial" w:hAnsi="Arial" w:cs="Arial"/>
                <w:sz w:val="16"/>
                <w:szCs w:val="16"/>
              </w:rPr>
              <w:t>7</w:t>
            </w:r>
          </w:p>
        </w:tc>
        <w:tc>
          <w:tcPr>
            <w:tcW w:w="0" w:type="auto"/>
            <w:tcBorders>
              <w:top w:val="nil"/>
              <w:left w:val="nil"/>
              <w:bottom w:val="nil"/>
              <w:right w:val="nil"/>
            </w:tcBorders>
            <w:vAlign w:val="center"/>
            <w:hideMark/>
          </w:tcPr>
          <w:p w14:paraId="537D9A19" w14:textId="77777777" w:rsidR="000C3E9E" w:rsidRPr="00FE7ADB" w:rsidRDefault="00251D19"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Pr>
                <w:rFonts w:ascii="Arial" w:hAnsi="Arial" w:cs="Arial"/>
                <w:sz w:val="16"/>
                <w:szCs w:val="16"/>
              </w:rPr>
              <w:t>0</w:t>
            </w:r>
            <w:r w:rsidR="000C3E9E" w:rsidRPr="00FE7ADB">
              <w:rPr>
                <w:rFonts w:ascii="Arial" w:hAnsi="Arial" w:cs="Arial"/>
                <w:sz w:val="16"/>
                <w:szCs w:val="16"/>
              </w:rPr>
              <w:t>.724</w:t>
            </w:r>
          </w:p>
        </w:tc>
        <w:tc>
          <w:tcPr>
            <w:tcW w:w="0" w:type="auto"/>
            <w:tcBorders>
              <w:top w:val="nil"/>
              <w:left w:val="nil"/>
              <w:bottom w:val="nil"/>
              <w:right w:val="nil"/>
            </w:tcBorders>
            <w:vAlign w:val="center"/>
          </w:tcPr>
          <w:p w14:paraId="148D9677"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16D1FD7E"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10F68F56"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r>
      <w:tr w:rsidR="00251D19" w:rsidRPr="00FE7ADB" w14:paraId="2783DB15" w14:textId="77777777" w:rsidTr="000D14C2">
        <w:trPr>
          <w:trHeight w:hRule="exact" w:val="284"/>
        </w:trPr>
        <w:tc>
          <w:tcPr>
            <w:tcW w:w="0" w:type="auto"/>
            <w:tcBorders>
              <w:top w:val="nil"/>
              <w:left w:val="nil"/>
              <w:bottom w:val="single" w:sz="4" w:space="0" w:color="auto"/>
              <w:right w:val="nil"/>
            </w:tcBorders>
            <w:vAlign w:val="center"/>
            <w:hideMark/>
          </w:tcPr>
          <w:p w14:paraId="4B093C32" w14:textId="77777777" w:rsidR="000C3E9E" w:rsidRPr="00FE7ADB" w:rsidRDefault="000C3E9E" w:rsidP="00CC52D3">
            <w:pPr>
              <w:widowControl w:val="0"/>
              <w:autoSpaceDE w:val="0"/>
              <w:autoSpaceDN w:val="0"/>
              <w:adjustRightInd w:val="0"/>
              <w:spacing w:line="240" w:lineRule="auto"/>
              <w:jc w:val="both"/>
              <w:rPr>
                <w:rFonts w:ascii="Arial" w:hAnsi="Arial" w:cs="Arial"/>
                <w:color w:val="000000" w:themeColor="text1"/>
                <w:sz w:val="16"/>
                <w:szCs w:val="16"/>
                <w:lang w:val="en-US" w:eastAsia="en-US"/>
              </w:rPr>
            </w:pPr>
            <w:r w:rsidRPr="00FE7ADB">
              <w:rPr>
                <w:rFonts w:ascii="Arial" w:hAnsi="Arial" w:cs="Arial"/>
                <w:sz w:val="16"/>
                <w:szCs w:val="16"/>
              </w:rPr>
              <w:t>ChiefInPanel</w:t>
            </w:r>
          </w:p>
        </w:tc>
        <w:tc>
          <w:tcPr>
            <w:tcW w:w="0" w:type="auto"/>
            <w:tcBorders>
              <w:top w:val="nil"/>
              <w:left w:val="nil"/>
              <w:bottom w:val="nil"/>
              <w:right w:val="nil"/>
            </w:tcBorders>
            <w:vAlign w:val="center"/>
          </w:tcPr>
          <w:p w14:paraId="3C572115"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759CF113"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20D96CED"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hideMark/>
          </w:tcPr>
          <w:p w14:paraId="50347FDC"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.5</w:t>
            </w:r>
            <w:r w:rsidR="00251D19">
              <w:rPr>
                <w:rFonts w:ascii="Arial" w:hAnsi="Arial" w:cs="Arial"/>
                <w:sz w:val="16"/>
                <w:szCs w:val="16"/>
              </w:rPr>
              <w:t>8</w:t>
            </w:r>
          </w:p>
        </w:tc>
        <w:tc>
          <w:tcPr>
            <w:tcW w:w="0" w:type="auto"/>
            <w:tcBorders>
              <w:top w:val="nil"/>
              <w:left w:val="nil"/>
              <w:bottom w:val="nil"/>
              <w:right w:val="nil"/>
            </w:tcBorders>
            <w:vAlign w:val="center"/>
            <w:hideMark/>
          </w:tcPr>
          <w:p w14:paraId="091A0ADE"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.66</w:t>
            </w:r>
          </w:p>
        </w:tc>
        <w:tc>
          <w:tcPr>
            <w:tcW w:w="0" w:type="auto"/>
            <w:tcBorders>
              <w:top w:val="nil"/>
              <w:left w:val="nil"/>
              <w:bottom w:val="nil"/>
              <w:right w:val="nil"/>
            </w:tcBorders>
            <w:vAlign w:val="center"/>
            <w:hideMark/>
          </w:tcPr>
          <w:p w14:paraId="471FA85C"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0.380</w:t>
            </w:r>
          </w:p>
        </w:tc>
        <w:tc>
          <w:tcPr>
            <w:tcW w:w="0" w:type="auto"/>
            <w:tcBorders>
              <w:top w:val="nil"/>
              <w:left w:val="nil"/>
              <w:bottom w:val="nil"/>
              <w:right w:val="nil"/>
            </w:tcBorders>
            <w:vAlign w:val="center"/>
          </w:tcPr>
          <w:p w14:paraId="248AB6BA"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7890C739"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6537C4C0"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r>
      <w:tr w:rsidR="00251D19" w:rsidRPr="00FE7ADB" w14:paraId="508DF0E7" w14:textId="77777777" w:rsidTr="000D14C2">
        <w:trPr>
          <w:trHeight w:hRule="exact" w:val="284"/>
        </w:trPr>
        <w:tc>
          <w:tcPr>
            <w:tcW w:w="0" w:type="auto"/>
            <w:tcBorders>
              <w:top w:val="single" w:sz="4" w:space="0" w:color="auto"/>
              <w:left w:val="nil"/>
              <w:bottom w:val="nil"/>
              <w:right w:val="nil"/>
            </w:tcBorders>
            <w:vAlign w:val="center"/>
            <w:hideMark/>
          </w:tcPr>
          <w:p w14:paraId="08788C99" w14:textId="77777777" w:rsidR="000C3E9E" w:rsidRPr="00FE7ADB" w:rsidRDefault="000C3E9E" w:rsidP="00CC52D3">
            <w:pPr>
              <w:widowControl w:val="0"/>
              <w:autoSpaceDE w:val="0"/>
              <w:autoSpaceDN w:val="0"/>
              <w:adjustRightInd w:val="0"/>
              <w:spacing w:line="240" w:lineRule="auto"/>
              <w:jc w:val="both"/>
              <w:rPr>
                <w:rFonts w:ascii="Arial" w:hAnsi="Arial" w:cs="Arial"/>
                <w:b/>
                <w:color w:val="000000" w:themeColor="text1"/>
                <w:sz w:val="16"/>
                <w:szCs w:val="16"/>
                <w:lang w:val="en-US" w:eastAsia="en-US"/>
              </w:rPr>
            </w:pPr>
            <w:r w:rsidRPr="00FE7ADB">
              <w:rPr>
                <w:rFonts w:ascii="Arial" w:hAnsi="Arial" w:cs="Arial"/>
                <w:b/>
                <w:sz w:val="16"/>
                <w:szCs w:val="16"/>
              </w:rPr>
              <w:t>Case level</w:t>
            </w:r>
          </w:p>
        </w:tc>
        <w:tc>
          <w:tcPr>
            <w:tcW w:w="0" w:type="auto"/>
            <w:tcBorders>
              <w:top w:val="nil"/>
              <w:left w:val="nil"/>
              <w:bottom w:val="nil"/>
              <w:right w:val="nil"/>
            </w:tcBorders>
            <w:vAlign w:val="center"/>
          </w:tcPr>
          <w:p w14:paraId="13B68680"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5C52A9D3"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6A49EEDF"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315DDE71"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792B716F"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12ABAE1B"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5F43022C"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28B72CF3"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16442D63"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r>
      <w:tr w:rsidR="00251D19" w:rsidRPr="00FE7ADB" w14:paraId="79FA3A82" w14:textId="77777777" w:rsidTr="000D14C2">
        <w:trPr>
          <w:trHeight w:hRule="exact" w:val="284"/>
        </w:trPr>
        <w:tc>
          <w:tcPr>
            <w:tcW w:w="0" w:type="auto"/>
            <w:tcBorders>
              <w:top w:val="nil"/>
              <w:left w:val="nil"/>
              <w:bottom w:val="nil"/>
              <w:right w:val="nil"/>
            </w:tcBorders>
            <w:vAlign w:val="center"/>
            <w:hideMark/>
          </w:tcPr>
          <w:p w14:paraId="705FA1C3" w14:textId="57F1190D" w:rsidR="000C3E9E" w:rsidRPr="00FE7ADB" w:rsidRDefault="000C3E9E" w:rsidP="00CC52D3">
            <w:pPr>
              <w:widowControl w:val="0"/>
              <w:autoSpaceDE w:val="0"/>
              <w:autoSpaceDN w:val="0"/>
              <w:adjustRightInd w:val="0"/>
              <w:spacing w:line="240" w:lineRule="auto"/>
              <w:jc w:val="both"/>
              <w:rPr>
                <w:rFonts w:ascii="Arial" w:hAnsi="Arial" w:cs="Arial"/>
                <w:color w:val="000000" w:themeColor="text1"/>
                <w:sz w:val="16"/>
                <w:szCs w:val="16"/>
                <w:lang w:val="en-US" w:eastAsia="en-US"/>
              </w:rPr>
            </w:pPr>
            <w:r w:rsidRPr="00FE7ADB">
              <w:rPr>
                <w:rFonts w:ascii="Arial" w:hAnsi="Arial" w:cs="Arial"/>
                <w:sz w:val="16"/>
                <w:szCs w:val="16"/>
              </w:rPr>
              <w:t>Public</w:t>
            </w:r>
            <w:r w:rsidR="0056671C">
              <w:rPr>
                <w:rFonts w:ascii="Arial" w:hAnsi="Arial" w:cs="Arial"/>
                <w:sz w:val="16"/>
                <w:szCs w:val="16"/>
              </w:rPr>
              <w:t>Party</w:t>
            </w:r>
            <w:r w:rsidRPr="00FE7ADB">
              <w:rPr>
                <w:rFonts w:ascii="Arial" w:hAnsi="Arial" w:cs="Arial"/>
                <w:sz w:val="16"/>
                <w:szCs w:val="16"/>
              </w:rPr>
              <w:t>Plaintiff</w:t>
            </w:r>
          </w:p>
        </w:tc>
        <w:tc>
          <w:tcPr>
            <w:tcW w:w="0" w:type="auto"/>
            <w:tcBorders>
              <w:top w:val="nil"/>
              <w:left w:val="nil"/>
              <w:bottom w:val="nil"/>
              <w:right w:val="nil"/>
            </w:tcBorders>
            <w:vAlign w:val="center"/>
          </w:tcPr>
          <w:p w14:paraId="1FCD997F"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2D866718"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182DC1E9"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2E74D858"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539C737F"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3407AC93"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hideMark/>
          </w:tcPr>
          <w:p w14:paraId="25744A49"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-4.3</w:t>
            </w:r>
            <w:r w:rsidR="00251D19">
              <w:rPr>
                <w:rFonts w:ascii="Arial" w:hAnsi="Arial" w:cs="Arial"/>
                <w:sz w:val="16"/>
                <w:szCs w:val="16"/>
              </w:rPr>
              <w:t>1</w:t>
            </w:r>
            <w:r w:rsidRPr="00FE7ADB">
              <w:rPr>
                <w:rFonts w:ascii="Arial" w:hAnsi="Arial" w:cs="Arial"/>
                <w:sz w:val="16"/>
                <w:szCs w:val="16"/>
              </w:rPr>
              <w:t>***</w:t>
            </w:r>
          </w:p>
        </w:tc>
        <w:tc>
          <w:tcPr>
            <w:tcW w:w="0" w:type="auto"/>
            <w:tcBorders>
              <w:top w:val="nil"/>
              <w:left w:val="nil"/>
              <w:bottom w:val="nil"/>
              <w:right w:val="nil"/>
            </w:tcBorders>
            <w:vAlign w:val="center"/>
            <w:hideMark/>
          </w:tcPr>
          <w:p w14:paraId="7952A5E9"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.51</w:t>
            </w:r>
          </w:p>
        </w:tc>
        <w:tc>
          <w:tcPr>
            <w:tcW w:w="0" w:type="auto"/>
            <w:tcBorders>
              <w:top w:val="nil"/>
              <w:left w:val="nil"/>
              <w:bottom w:val="nil"/>
              <w:right w:val="nil"/>
            </w:tcBorders>
            <w:vAlign w:val="center"/>
            <w:hideMark/>
          </w:tcPr>
          <w:p w14:paraId="72B3E237"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0.000</w:t>
            </w:r>
          </w:p>
        </w:tc>
      </w:tr>
      <w:tr w:rsidR="00251D19" w:rsidRPr="00FE7ADB" w14:paraId="3EB27AFD" w14:textId="77777777" w:rsidTr="000D14C2">
        <w:trPr>
          <w:trHeight w:hRule="exact" w:val="284"/>
        </w:trPr>
        <w:tc>
          <w:tcPr>
            <w:tcW w:w="0" w:type="auto"/>
            <w:tcBorders>
              <w:top w:val="nil"/>
              <w:left w:val="nil"/>
              <w:bottom w:val="nil"/>
              <w:right w:val="nil"/>
            </w:tcBorders>
            <w:vAlign w:val="center"/>
            <w:hideMark/>
          </w:tcPr>
          <w:p w14:paraId="0FA3880A" w14:textId="77777777" w:rsidR="000C3E9E" w:rsidRPr="00FE7ADB" w:rsidRDefault="000C3E9E" w:rsidP="00CC52D3">
            <w:pPr>
              <w:widowControl w:val="0"/>
              <w:autoSpaceDE w:val="0"/>
              <w:autoSpaceDN w:val="0"/>
              <w:adjustRightInd w:val="0"/>
              <w:spacing w:line="240" w:lineRule="auto"/>
              <w:jc w:val="both"/>
              <w:rPr>
                <w:rFonts w:ascii="Arial" w:hAnsi="Arial" w:cs="Arial"/>
                <w:color w:val="000000" w:themeColor="text1"/>
                <w:sz w:val="16"/>
                <w:szCs w:val="16"/>
                <w:lang w:val="en-US" w:eastAsia="en-US"/>
              </w:rPr>
            </w:pPr>
            <w:r w:rsidRPr="00FE7ADB">
              <w:rPr>
                <w:rFonts w:ascii="Arial" w:hAnsi="Arial" w:cs="Arial"/>
                <w:sz w:val="16"/>
                <w:szCs w:val="16"/>
              </w:rPr>
              <w:t>Third parties</w:t>
            </w:r>
          </w:p>
        </w:tc>
        <w:tc>
          <w:tcPr>
            <w:tcW w:w="0" w:type="auto"/>
            <w:tcBorders>
              <w:top w:val="nil"/>
              <w:left w:val="nil"/>
              <w:bottom w:val="nil"/>
              <w:right w:val="nil"/>
            </w:tcBorders>
            <w:vAlign w:val="center"/>
          </w:tcPr>
          <w:p w14:paraId="0FA69006"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03EFE5FD"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2556CA0B"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0D91C524"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2C44B1F3"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626B6FC6"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hideMark/>
          </w:tcPr>
          <w:p w14:paraId="4EABD71F"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.38</w:t>
            </w:r>
          </w:p>
        </w:tc>
        <w:tc>
          <w:tcPr>
            <w:tcW w:w="0" w:type="auto"/>
            <w:tcBorders>
              <w:top w:val="nil"/>
              <w:left w:val="nil"/>
              <w:bottom w:val="nil"/>
              <w:right w:val="nil"/>
            </w:tcBorders>
            <w:vAlign w:val="center"/>
            <w:hideMark/>
          </w:tcPr>
          <w:p w14:paraId="31689216"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.3</w:t>
            </w:r>
            <w:r w:rsidR="00251D19">
              <w:rPr>
                <w:rFonts w:ascii="Arial" w:hAnsi="Arial" w:cs="Arial"/>
                <w:sz w:val="16"/>
                <w:szCs w:val="16"/>
              </w:rPr>
              <w:t>9</w:t>
            </w:r>
          </w:p>
        </w:tc>
        <w:tc>
          <w:tcPr>
            <w:tcW w:w="0" w:type="auto"/>
            <w:tcBorders>
              <w:top w:val="nil"/>
              <w:left w:val="nil"/>
              <w:bottom w:val="nil"/>
              <w:right w:val="nil"/>
            </w:tcBorders>
            <w:vAlign w:val="center"/>
            <w:hideMark/>
          </w:tcPr>
          <w:p w14:paraId="13B916F5"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0.322</w:t>
            </w:r>
          </w:p>
        </w:tc>
      </w:tr>
      <w:tr w:rsidR="00251D19" w:rsidRPr="00FE7ADB" w14:paraId="1B2EFA12" w14:textId="77777777" w:rsidTr="000D14C2">
        <w:trPr>
          <w:trHeight w:hRule="exact" w:val="284"/>
        </w:trPr>
        <w:tc>
          <w:tcPr>
            <w:tcW w:w="0" w:type="auto"/>
            <w:tcBorders>
              <w:top w:val="nil"/>
              <w:left w:val="nil"/>
              <w:bottom w:val="nil"/>
              <w:right w:val="nil"/>
            </w:tcBorders>
            <w:vAlign w:val="center"/>
            <w:hideMark/>
          </w:tcPr>
          <w:p w14:paraId="60250869" w14:textId="77777777" w:rsidR="000C3E9E" w:rsidRPr="00FE7ADB" w:rsidRDefault="000C3E9E" w:rsidP="00CC52D3">
            <w:pPr>
              <w:widowControl w:val="0"/>
              <w:autoSpaceDE w:val="0"/>
              <w:autoSpaceDN w:val="0"/>
              <w:adjustRightInd w:val="0"/>
              <w:spacing w:line="240" w:lineRule="auto"/>
              <w:jc w:val="both"/>
              <w:rPr>
                <w:rFonts w:ascii="Arial" w:hAnsi="Arial" w:cs="Arial"/>
                <w:color w:val="000000" w:themeColor="text1"/>
                <w:sz w:val="16"/>
                <w:szCs w:val="16"/>
                <w:lang w:val="en-US" w:eastAsia="en-US"/>
              </w:rPr>
            </w:pPr>
            <w:r w:rsidRPr="00FE7ADB">
              <w:rPr>
                <w:rFonts w:ascii="Arial" w:hAnsi="Arial" w:cs="Arial"/>
                <w:sz w:val="16"/>
                <w:szCs w:val="16"/>
              </w:rPr>
              <w:t>Words</w:t>
            </w:r>
          </w:p>
        </w:tc>
        <w:tc>
          <w:tcPr>
            <w:tcW w:w="0" w:type="auto"/>
            <w:tcBorders>
              <w:top w:val="nil"/>
              <w:left w:val="nil"/>
              <w:bottom w:val="nil"/>
              <w:right w:val="nil"/>
            </w:tcBorders>
            <w:vAlign w:val="center"/>
          </w:tcPr>
          <w:p w14:paraId="07C08F72"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014BC017"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5214E442"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068590C6"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4D0F9DDF"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6B2858B7"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hideMark/>
          </w:tcPr>
          <w:p w14:paraId="05E0431E"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9.02e-06</w:t>
            </w:r>
          </w:p>
        </w:tc>
        <w:tc>
          <w:tcPr>
            <w:tcW w:w="0" w:type="auto"/>
            <w:tcBorders>
              <w:top w:val="nil"/>
              <w:left w:val="nil"/>
              <w:bottom w:val="nil"/>
              <w:right w:val="nil"/>
            </w:tcBorders>
            <w:vAlign w:val="center"/>
            <w:hideMark/>
          </w:tcPr>
          <w:p w14:paraId="077B9943"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.00014</w:t>
            </w:r>
          </w:p>
        </w:tc>
        <w:tc>
          <w:tcPr>
            <w:tcW w:w="0" w:type="auto"/>
            <w:tcBorders>
              <w:top w:val="nil"/>
              <w:left w:val="nil"/>
              <w:bottom w:val="nil"/>
              <w:right w:val="nil"/>
            </w:tcBorders>
            <w:vAlign w:val="center"/>
            <w:hideMark/>
          </w:tcPr>
          <w:p w14:paraId="2BB35E22"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0.949</w:t>
            </w:r>
          </w:p>
        </w:tc>
      </w:tr>
      <w:tr w:rsidR="00251D19" w:rsidRPr="00FE7ADB" w14:paraId="1A5EE9E5" w14:textId="77777777" w:rsidTr="000D14C2">
        <w:trPr>
          <w:trHeight w:hRule="exact" w:val="284"/>
        </w:trPr>
        <w:tc>
          <w:tcPr>
            <w:tcW w:w="0" w:type="auto"/>
            <w:tcBorders>
              <w:top w:val="nil"/>
              <w:left w:val="nil"/>
              <w:bottom w:val="nil"/>
              <w:right w:val="nil"/>
            </w:tcBorders>
            <w:vAlign w:val="center"/>
            <w:hideMark/>
          </w:tcPr>
          <w:p w14:paraId="743C5575" w14:textId="77777777" w:rsidR="000C3E9E" w:rsidRPr="00FE7ADB" w:rsidRDefault="000C3E9E" w:rsidP="00CC52D3">
            <w:pPr>
              <w:widowControl w:val="0"/>
              <w:autoSpaceDE w:val="0"/>
              <w:autoSpaceDN w:val="0"/>
              <w:adjustRightInd w:val="0"/>
              <w:spacing w:line="240" w:lineRule="auto"/>
              <w:jc w:val="both"/>
              <w:rPr>
                <w:rFonts w:ascii="Arial" w:hAnsi="Arial" w:cs="Arial"/>
                <w:color w:val="000000" w:themeColor="text1"/>
                <w:sz w:val="16"/>
                <w:szCs w:val="16"/>
                <w:lang w:val="en-US" w:eastAsia="en-US"/>
              </w:rPr>
            </w:pPr>
            <w:r w:rsidRPr="00FE7ADB">
              <w:rPr>
                <w:rFonts w:ascii="Arial" w:hAnsi="Arial" w:cs="Arial"/>
                <w:sz w:val="16"/>
                <w:szCs w:val="16"/>
              </w:rPr>
              <w:t>Voices</w:t>
            </w:r>
          </w:p>
        </w:tc>
        <w:tc>
          <w:tcPr>
            <w:tcW w:w="0" w:type="auto"/>
            <w:tcBorders>
              <w:top w:val="nil"/>
              <w:left w:val="nil"/>
              <w:bottom w:val="nil"/>
              <w:right w:val="nil"/>
            </w:tcBorders>
            <w:vAlign w:val="center"/>
          </w:tcPr>
          <w:p w14:paraId="49A7704D"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378C0B1F"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1293733D"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3DB8AFDF"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713FC724"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36C794B5"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hideMark/>
          </w:tcPr>
          <w:p w14:paraId="21A0BB7F"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-.4</w:t>
            </w:r>
            <w:r w:rsidR="00251D19">
              <w:rPr>
                <w:rFonts w:ascii="Arial" w:hAnsi="Arial" w:cs="Arial"/>
                <w:sz w:val="16"/>
                <w:szCs w:val="16"/>
              </w:rPr>
              <w:t>2</w:t>
            </w:r>
          </w:p>
        </w:tc>
        <w:tc>
          <w:tcPr>
            <w:tcW w:w="0" w:type="auto"/>
            <w:tcBorders>
              <w:top w:val="nil"/>
              <w:left w:val="nil"/>
              <w:bottom w:val="nil"/>
              <w:right w:val="nil"/>
            </w:tcBorders>
            <w:vAlign w:val="center"/>
            <w:hideMark/>
          </w:tcPr>
          <w:p w14:paraId="2E45C583" w14:textId="77777777" w:rsidR="000C3E9E" w:rsidRPr="00FE7ADB" w:rsidRDefault="000C3E9E" w:rsidP="0026077D">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.96</w:t>
            </w:r>
          </w:p>
        </w:tc>
        <w:tc>
          <w:tcPr>
            <w:tcW w:w="0" w:type="auto"/>
            <w:tcBorders>
              <w:top w:val="nil"/>
              <w:left w:val="nil"/>
              <w:bottom w:val="nil"/>
              <w:right w:val="nil"/>
            </w:tcBorders>
            <w:vAlign w:val="center"/>
            <w:hideMark/>
          </w:tcPr>
          <w:p w14:paraId="45B70C47"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0.667</w:t>
            </w:r>
          </w:p>
        </w:tc>
      </w:tr>
      <w:tr w:rsidR="00251D19" w:rsidRPr="00FE7ADB" w14:paraId="02343B7D" w14:textId="77777777" w:rsidTr="000D14C2">
        <w:trPr>
          <w:trHeight w:hRule="exact" w:val="284"/>
        </w:trPr>
        <w:tc>
          <w:tcPr>
            <w:tcW w:w="0" w:type="auto"/>
            <w:tcBorders>
              <w:top w:val="nil"/>
              <w:left w:val="nil"/>
              <w:bottom w:val="nil"/>
              <w:right w:val="nil"/>
            </w:tcBorders>
            <w:vAlign w:val="center"/>
            <w:hideMark/>
          </w:tcPr>
          <w:p w14:paraId="463FB176" w14:textId="30809970" w:rsidR="000C3E9E" w:rsidRPr="00FE7ADB" w:rsidRDefault="0049655C" w:rsidP="00CC52D3">
            <w:pPr>
              <w:widowControl w:val="0"/>
              <w:autoSpaceDE w:val="0"/>
              <w:autoSpaceDN w:val="0"/>
              <w:adjustRightInd w:val="0"/>
              <w:spacing w:line="240" w:lineRule="auto"/>
              <w:jc w:val="both"/>
              <w:rPr>
                <w:rFonts w:ascii="Arial" w:hAnsi="Arial" w:cs="Arial"/>
                <w:color w:val="000000" w:themeColor="text1"/>
                <w:sz w:val="16"/>
                <w:szCs w:val="16"/>
                <w:lang w:val="en-US" w:eastAsia="en-US"/>
              </w:rPr>
            </w:pPr>
            <w:r w:rsidRPr="00EC49AB">
              <w:rPr>
                <w:rFonts w:ascii="Arial" w:hAnsi="Arial" w:cs="Arial"/>
                <w:sz w:val="16"/>
                <w:szCs w:val="16"/>
              </w:rPr>
              <w:t>Nonunanimous decision</w:t>
            </w:r>
          </w:p>
        </w:tc>
        <w:tc>
          <w:tcPr>
            <w:tcW w:w="0" w:type="auto"/>
            <w:tcBorders>
              <w:top w:val="nil"/>
              <w:left w:val="nil"/>
              <w:bottom w:val="nil"/>
              <w:right w:val="nil"/>
            </w:tcBorders>
            <w:vAlign w:val="center"/>
          </w:tcPr>
          <w:p w14:paraId="1487C959"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384407C4"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24EAB908"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5BC91EAD"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4DAACA95"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2C2A9A03"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hideMark/>
          </w:tcPr>
          <w:p w14:paraId="79631D6F"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-2.1</w:t>
            </w:r>
            <w:r w:rsidR="00251D19">
              <w:rPr>
                <w:rFonts w:ascii="Arial" w:hAnsi="Arial" w:cs="Arial"/>
                <w:sz w:val="16"/>
                <w:szCs w:val="16"/>
              </w:rPr>
              <w:t>8</w:t>
            </w:r>
            <w:r w:rsidRPr="00FE7ADB">
              <w:rPr>
                <w:rFonts w:ascii="Arial" w:hAnsi="Arial" w:cs="Arial"/>
                <w:sz w:val="16"/>
                <w:szCs w:val="16"/>
              </w:rPr>
              <w:t>*</w:t>
            </w:r>
          </w:p>
        </w:tc>
        <w:tc>
          <w:tcPr>
            <w:tcW w:w="0" w:type="auto"/>
            <w:tcBorders>
              <w:top w:val="nil"/>
              <w:left w:val="nil"/>
              <w:bottom w:val="nil"/>
              <w:right w:val="nil"/>
            </w:tcBorders>
            <w:vAlign w:val="center"/>
            <w:hideMark/>
          </w:tcPr>
          <w:p w14:paraId="6A6D1BF0" w14:textId="77777777" w:rsidR="000C3E9E" w:rsidRPr="00FE7ADB" w:rsidRDefault="000C3E9E" w:rsidP="0026077D">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1.1</w:t>
            </w:r>
            <w:r w:rsidR="0026077D">
              <w:rPr>
                <w:rFonts w:ascii="Arial" w:hAnsi="Arial" w:cs="Arial"/>
                <w:sz w:val="16"/>
                <w:szCs w:val="16"/>
              </w:rPr>
              <w:t>9</w:t>
            </w:r>
          </w:p>
        </w:tc>
        <w:tc>
          <w:tcPr>
            <w:tcW w:w="0" w:type="auto"/>
            <w:tcBorders>
              <w:top w:val="nil"/>
              <w:left w:val="nil"/>
              <w:bottom w:val="nil"/>
              <w:right w:val="nil"/>
            </w:tcBorders>
            <w:vAlign w:val="center"/>
            <w:hideMark/>
          </w:tcPr>
          <w:p w14:paraId="76D5C6B0"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0.066</w:t>
            </w:r>
          </w:p>
        </w:tc>
      </w:tr>
      <w:tr w:rsidR="00251D19" w:rsidRPr="00FE7ADB" w14:paraId="58EB3798" w14:textId="77777777" w:rsidTr="000D14C2">
        <w:trPr>
          <w:trHeight w:hRule="exact" w:val="284"/>
        </w:trPr>
        <w:tc>
          <w:tcPr>
            <w:tcW w:w="0" w:type="auto"/>
            <w:tcBorders>
              <w:top w:val="nil"/>
              <w:left w:val="nil"/>
              <w:bottom w:val="nil"/>
              <w:right w:val="nil"/>
            </w:tcBorders>
            <w:vAlign w:val="center"/>
            <w:hideMark/>
          </w:tcPr>
          <w:p w14:paraId="28DACD1B" w14:textId="77777777" w:rsidR="000C3E9E" w:rsidRPr="00FE7ADB" w:rsidRDefault="000C3E9E" w:rsidP="00CC52D3">
            <w:pPr>
              <w:widowControl w:val="0"/>
              <w:autoSpaceDE w:val="0"/>
              <w:autoSpaceDN w:val="0"/>
              <w:adjustRightInd w:val="0"/>
              <w:spacing w:line="240" w:lineRule="auto"/>
              <w:jc w:val="both"/>
              <w:rPr>
                <w:rFonts w:ascii="Arial" w:hAnsi="Arial" w:cs="Arial"/>
                <w:color w:val="000000" w:themeColor="text1"/>
                <w:sz w:val="16"/>
                <w:szCs w:val="16"/>
                <w:lang w:val="en-US" w:eastAsia="en-US"/>
              </w:rPr>
            </w:pPr>
            <w:r w:rsidRPr="00FE7ADB">
              <w:rPr>
                <w:rFonts w:ascii="Arial" w:hAnsi="Arial" w:cs="Arial"/>
                <w:sz w:val="16"/>
                <w:szCs w:val="16"/>
              </w:rPr>
              <w:t>Econ relevance high</w:t>
            </w:r>
          </w:p>
        </w:tc>
        <w:tc>
          <w:tcPr>
            <w:tcW w:w="0" w:type="auto"/>
            <w:tcBorders>
              <w:top w:val="nil"/>
              <w:left w:val="nil"/>
              <w:bottom w:val="nil"/>
              <w:right w:val="nil"/>
            </w:tcBorders>
            <w:vAlign w:val="center"/>
          </w:tcPr>
          <w:p w14:paraId="6CFB3C1B"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7D3DCA98"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469233E9"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71DE53DF"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7944973B"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576AB123"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hideMark/>
          </w:tcPr>
          <w:p w14:paraId="331A6B8D"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.70</w:t>
            </w:r>
          </w:p>
        </w:tc>
        <w:tc>
          <w:tcPr>
            <w:tcW w:w="0" w:type="auto"/>
            <w:tcBorders>
              <w:top w:val="nil"/>
              <w:left w:val="nil"/>
              <w:bottom w:val="nil"/>
              <w:right w:val="nil"/>
            </w:tcBorders>
            <w:vAlign w:val="center"/>
            <w:hideMark/>
          </w:tcPr>
          <w:p w14:paraId="179CBFEA" w14:textId="77777777" w:rsidR="000C3E9E" w:rsidRPr="00FE7ADB" w:rsidRDefault="000C3E9E" w:rsidP="0026077D">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.53</w:t>
            </w:r>
          </w:p>
        </w:tc>
        <w:tc>
          <w:tcPr>
            <w:tcW w:w="0" w:type="auto"/>
            <w:tcBorders>
              <w:top w:val="nil"/>
              <w:left w:val="nil"/>
              <w:bottom w:val="nil"/>
              <w:right w:val="nil"/>
            </w:tcBorders>
            <w:vAlign w:val="center"/>
            <w:hideMark/>
          </w:tcPr>
          <w:p w14:paraId="737B369E"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0.186</w:t>
            </w:r>
          </w:p>
        </w:tc>
      </w:tr>
      <w:tr w:rsidR="00251D19" w:rsidRPr="00FE7ADB" w14:paraId="172B816C" w14:textId="77777777" w:rsidTr="000D14C2">
        <w:trPr>
          <w:trHeight w:hRule="exact" w:val="284"/>
        </w:trPr>
        <w:tc>
          <w:tcPr>
            <w:tcW w:w="0" w:type="auto"/>
            <w:tcBorders>
              <w:top w:val="nil"/>
              <w:left w:val="nil"/>
              <w:bottom w:val="single" w:sz="4" w:space="0" w:color="auto"/>
              <w:right w:val="nil"/>
            </w:tcBorders>
            <w:vAlign w:val="center"/>
            <w:hideMark/>
          </w:tcPr>
          <w:p w14:paraId="52C0A725" w14:textId="77777777" w:rsidR="000C3E9E" w:rsidRPr="00FE7ADB" w:rsidRDefault="000C3E9E" w:rsidP="00CC52D3">
            <w:pPr>
              <w:widowControl w:val="0"/>
              <w:autoSpaceDE w:val="0"/>
              <w:autoSpaceDN w:val="0"/>
              <w:adjustRightInd w:val="0"/>
              <w:spacing w:line="240" w:lineRule="auto"/>
              <w:jc w:val="both"/>
              <w:rPr>
                <w:rFonts w:ascii="Arial" w:hAnsi="Arial" w:cs="Arial"/>
                <w:color w:val="000000" w:themeColor="text1"/>
                <w:sz w:val="16"/>
                <w:szCs w:val="16"/>
                <w:lang w:val="en-US" w:eastAsia="en-US"/>
              </w:rPr>
            </w:pPr>
            <w:r w:rsidRPr="00FE7ADB">
              <w:rPr>
                <w:rFonts w:ascii="Arial" w:hAnsi="Arial" w:cs="Arial"/>
                <w:sz w:val="16"/>
                <w:szCs w:val="16"/>
              </w:rPr>
              <w:t>Econ relevance medium</w:t>
            </w:r>
          </w:p>
        </w:tc>
        <w:tc>
          <w:tcPr>
            <w:tcW w:w="0" w:type="auto"/>
            <w:tcBorders>
              <w:top w:val="nil"/>
              <w:left w:val="nil"/>
              <w:bottom w:val="nil"/>
              <w:right w:val="nil"/>
            </w:tcBorders>
            <w:vAlign w:val="center"/>
          </w:tcPr>
          <w:p w14:paraId="43D929FB"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7D2C5F77"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2A575DE7"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74BA428D"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2898210C"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tcPr>
          <w:p w14:paraId="6F388CB8"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nil"/>
              <w:left w:val="nil"/>
              <w:bottom w:val="nil"/>
              <w:right w:val="nil"/>
            </w:tcBorders>
            <w:vAlign w:val="center"/>
            <w:hideMark/>
          </w:tcPr>
          <w:p w14:paraId="677B53FF"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.8</w:t>
            </w:r>
            <w:r w:rsidR="00251D19">
              <w:rPr>
                <w:rFonts w:ascii="Arial" w:hAnsi="Arial" w:cs="Arial"/>
                <w:sz w:val="16"/>
                <w:szCs w:val="16"/>
              </w:rPr>
              <w:t>8</w:t>
            </w:r>
          </w:p>
        </w:tc>
        <w:tc>
          <w:tcPr>
            <w:tcW w:w="0" w:type="auto"/>
            <w:tcBorders>
              <w:top w:val="nil"/>
              <w:left w:val="nil"/>
              <w:bottom w:val="nil"/>
              <w:right w:val="nil"/>
            </w:tcBorders>
            <w:vAlign w:val="center"/>
            <w:hideMark/>
          </w:tcPr>
          <w:p w14:paraId="01523FDF" w14:textId="77777777" w:rsidR="000C3E9E" w:rsidRPr="00FE7ADB" w:rsidRDefault="000C3E9E" w:rsidP="0026077D">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.62</w:t>
            </w:r>
          </w:p>
        </w:tc>
        <w:tc>
          <w:tcPr>
            <w:tcW w:w="0" w:type="auto"/>
            <w:tcBorders>
              <w:top w:val="nil"/>
              <w:left w:val="nil"/>
              <w:bottom w:val="nil"/>
              <w:right w:val="nil"/>
            </w:tcBorders>
            <w:vAlign w:val="center"/>
            <w:hideMark/>
          </w:tcPr>
          <w:p w14:paraId="4B690682"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0.160</w:t>
            </w:r>
          </w:p>
        </w:tc>
      </w:tr>
      <w:tr w:rsidR="000D14C2" w:rsidRPr="00FE7ADB" w14:paraId="7E2BEFAC" w14:textId="77777777" w:rsidTr="000D14C2">
        <w:trPr>
          <w:trHeight w:hRule="exact" w:val="284"/>
        </w:trPr>
        <w:tc>
          <w:tcPr>
            <w:tcW w:w="0" w:type="auto"/>
            <w:tcBorders>
              <w:top w:val="single" w:sz="4" w:space="0" w:color="auto"/>
              <w:left w:val="nil"/>
              <w:bottom w:val="single" w:sz="4" w:space="0" w:color="auto"/>
              <w:right w:val="nil"/>
            </w:tcBorders>
            <w:vAlign w:val="center"/>
          </w:tcPr>
          <w:p w14:paraId="7B10C327" w14:textId="77777777" w:rsidR="000D14C2" w:rsidRPr="00FE7ADB" w:rsidRDefault="000D14C2" w:rsidP="00CC52D3">
            <w:pPr>
              <w:widowControl w:val="0"/>
              <w:autoSpaceDE w:val="0"/>
              <w:autoSpaceDN w:val="0"/>
              <w:adjustRightInd w:val="0"/>
              <w:spacing w:line="240" w:lineRule="auto"/>
              <w:jc w:val="both"/>
              <w:rPr>
                <w:rFonts w:ascii="Arial" w:hAnsi="Arial" w:cs="Arial"/>
                <w:sz w:val="16"/>
                <w:szCs w:val="16"/>
              </w:rPr>
            </w:pPr>
            <w:r>
              <w:rPr>
                <w:rFonts w:ascii="Arial" w:hAnsi="Arial" w:cs="Arial"/>
                <w:sz w:val="16"/>
                <w:szCs w:val="16"/>
              </w:rPr>
              <w:t>Constant</w:t>
            </w:r>
          </w:p>
        </w:tc>
        <w:tc>
          <w:tcPr>
            <w:tcW w:w="0" w:type="auto"/>
            <w:tcBorders>
              <w:top w:val="nil"/>
              <w:left w:val="nil"/>
              <w:bottom w:val="single" w:sz="4" w:space="0" w:color="auto"/>
              <w:right w:val="nil"/>
            </w:tcBorders>
            <w:vAlign w:val="center"/>
          </w:tcPr>
          <w:p w14:paraId="4D1BB4D7" w14:textId="77777777" w:rsidR="000D14C2" w:rsidRPr="00FE7ADB" w:rsidRDefault="000D14C2"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Pr>
                <w:rFonts w:ascii="Arial" w:hAnsi="Arial" w:cs="Arial"/>
                <w:color w:val="000000" w:themeColor="text1"/>
                <w:sz w:val="16"/>
                <w:szCs w:val="16"/>
                <w:lang w:val="en-US" w:eastAsia="en-US"/>
              </w:rPr>
              <w:t>1.54</w:t>
            </w:r>
          </w:p>
        </w:tc>
        <w:tc>
          <w:tcPr>
            <w:tcW w:w="0" w:type="auto"/>
            <w:tcBorders>
              <w:top w:val="nil"/>
              <w:left w:val="nil"/>
              <w:bottom w:val="single" w:sz="4" w:space="0" w:color="auto"/>
              <w:right w:val="nil"/>
            </w:tcBorders>
            <w:vAlign w:val="center"/>
          </w:tcPr>
          <w:p w14:paraId="3AF577BE" w14:textId="77777777" w:rsidR="000D14C2" w:rsidRPr="00FE7ADB" w:rsidRDefault="000D14C2"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Pr>
                <w:rFonts w:ascii="Arial" w:hAnsi="Arial" w:cs="Arial"/>
                <w:color w:val="000000" w:themeColor="text1"/>
                <w:sz w:val="16"/>
                <w:szCs w:val="16"/>
                <w:lang w:val="en-US" w:eastAsia="en-US"/>
              </w:rPr>
              <w:t>.42</w:t>
            </w:r>
          </w:p>
        </w:tc>
        <w:tc>
          <w:tcPr>
            <w:tcW w:w="0" w:type="auto"/>
            <w:tcBorders>
              <w:top w:val="nil"/>
              <w:left w:val="nil"/>
              <w:bottom w:val="single" w:sz="4" w:space="0" w:color="auto"/>
              <w:right w:val="nil"/>
            </w:tcBorders>
            <w:vAlign w:val="center"/>
          </w:tcPr>
          <w:p w14:paraId="75FF937B" w14:textId="77777777" w:rsidR="000D14C2" w:rsidRPr="00FE7ADB" w:rsidRDefault="000D14C2"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Pr>
                <w:rFonts w:ascii="Arial" w:hAnsi="Arial" w:cs="Arial"/>
                <w:color w:val="000000" w:themeColor="text1"/>
                <w:sz w:val="16"/>
                <w:szCs w:val="16"/>
                <w:lang w:val="en-US" w:eastAsia="en-US"/>
              </w:rPr>
              <w:t>0.000</w:t>
            </w:r>
          </w:p>
        </w:tc>
        <w:tc>
          <w:tcPr>
            <w:tcW w:w="0" w:type="auto"/>
            <w:tcBorders>
              <w:top w:val="nil"/>
              <w:left w:val="nil"/>
              <w:bottom w:val="single" w:sz="4" w:space="0" w:color="auto"/>
              <w:right w:val="nil"/>
            </w:tcBorders>
            <w:vAlign w:val="center"/>
          </w:tcPr>
          <w:p w14:paraId="68C9BF41" w14:textId="77777777" w:rsidR="000D14C2" w:rsidRPr="00FE7ADB" w:rsidRDefault="000D14C2"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Pr>
                <w:rFonts w:ascii="Arial" w:hAnsi="Arial" w:cs="Arial"/>
                <w:color w:val="000000" w:themeColor="text1"/>
                <w:sz w:val="16"/>
                <w:szCs w:val="16"/>
                <w:lang w:val="en-US" w:eastAsia="en-US"/>
              </w:rPr>
              <w:t>.45</w:t>
            </w:r>
          </w:p>
        </w:tc>
        <w:tc>
          <w:tcPr>
            <w:tcW w:w="0" w:type="auto"/>
            <w:tcBorders>
              <w:top w:val="nil"/>
              <w:left w:val="nil"/>
              <w:bottom w:val="single" w:sz="4" w:space="0" w:color="auto"/>
              <w:right w:val="nil"/>
            </w:tcBorders>
            <w:vAlign w:val="center"/>
          </w:tcPr>
          <w:p w14:paraId="1EBB1E45" w14:textId="77777777" w:rsidR="000D14C2" w:rsidRPr="00FE7ADB" w:rsidRDefault="000D14C2"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Pr>
                <w:rFonts w:ascii="Arial" w:hAnsi="Arial" w:cs="Arial"/>
                <w:color w:val="000000" w:themeColor="text1"/>
                <w:sz w:val="16"/>
                <w:szCs w:val="16"/>
                <w:lang w:val="en-US" w:eastAsia="en-US"/>
              </w:rPr>
              <w:t>.75</w:t>
            </w:r>
          </w:p>
        </w:tc>
        <w:tc>
          <w:tcPr>
            <w:tcW w:w="0" w:type="auto"/>
            <w:tcBorders>
              <w:top w:val="nil"/>
              <w:left w:val="nil"/>
              <w:bottom w:val="single" w:sz="4" w:space="0" w:color="auto"/>
              <w:right w:val="nil"/>
            </w:tcBorders>
            <w:vAlign w:val="center"/>
          </w:tcPr>
          <w:p w14:paraId="0B850800" w14:textId="77777777" w:rsidR="000D14C2" w:rsidRPr="00FE7ADB" w:rsidRDefault="000D14C2"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Pr>
                <w:rFonts w:ascii="Arial" w:hAnsi="Arial" w:cs="Arial"/>
                <w:color w:val="000000" w:themeColor="text1"/>
                <w:sz w:val="16"/>
                <w:szCs w:val="16"/>
                <w:lang w:val="en-US" w:eastAsia="en-US"/>
              </w:rPr>
              <w:t>0.546</w:t>
            </w:r>
          </w:p>
        </w:tc>
        <w:tc>
          <w:tcPr>
            <w:tcW w:w="0" w:type="auto"/>
            <w:tcBorders>
              <w:top w:val="nil"/>
              <w:left w:val="nil"/>
              <w:bottom w:val="single" w:sz="4" w:space="0" w:color="auto"/>
              <w:right w:val="nil"/>
            </w:tcBorders>
            <w:vAlign w:val="center"/>
          </w:tcPr>
          <w:p w14:paraId="09908DB1" w14:textId="77777777" w:rsidR="000D14C2" w:rsidRPr="00FE7ADB" w:rsidRDefault="000D14C2" w:rsidP="00251D19">
            <w:pPr>
              <w:widowControl w:val="0"/>
              <w:autoSpaceDE w:val="0"/>
              <w:autoSpaceDN w:val="0"/>
              <w:adjustRightInd w:val="0"/>
              <w:spacing w:line="240" w:lineRule="auto"/>
              <w:jc w:val="center"/>
              <w:rPr>
                <w:rFonts w:ascii="Arial" w:hAnsi="Arial" w:cs="Arial"/>
                <w:sz w:val="16"/>
                <w:szCs w:val="16"/>
              </w:rPr>
            </w:pPr>
            <w:r>
              <w:rPr>
                <w:rFonts w:ascii="Arial" w:hAnsi="Arial" w:cs="Arial"/>
                <w:sz w:val="16"/>
                <w:szCs w:val="16"/>
              </w:rPr>
              <w:t>3.19</w:t>
            </w:r>
          </w:p>
        </w:tc>
        <w:tc>
          <w:tcPr>
            <w:tcW w:w="0" w:type="auto"/>
            <w:tcBorders>
              <w:top w:val="nil"/>
              <w:left w:val="nil"/>
              <w:bottom w:val="single" w:sz="4" w:space="0" w:color="auto"/>
              <w:right w:val="nil"/>
            </w:tcBorders>
            <w:vAlign w:val="center"/>
          </w:tcPr>
          <w:p w14:paraId="099880CB" w14:textId="77777777" w:rsidR="000D14C2" w:rsidRPr="00FE7ADB" w:rsidRDefault="000D14C2" w:rsidP="0026077D">
            <w:pPr>
              <w:widowControl w:val="0"/>
              <w:autoSpaceDE w:val="0"/>
              <w:autoSpaceDN w:val="0"/>
              <w:adjustRightInd w:val="0"/>
              <w:spacing w:line="240" w:lineRule="auto"/>
              <w:jc w:val="center"/>
              <w:rPr>
                <w:rFonts w:ascii="Arial" w:hAnsi="Arial" w:cs="Arial"/>
                <w:sz w:val="16"/>
                <w:szCs w:val="16"/>
              </w:rPr>
            </w:pPr>
            <w:r>
              <w:rPr>
                <w:rFonts w:ascii="Arial" w:hAnsi="Arial" w:cs="Arial"/>
                <w:sz w:val="16"/>
                <w:szCs w:val="16"/>
              </w:rPr>
              <w:t>1.27</w:t>
            </w:r>
          </w:p>
        </w:tc>
        <w:tc>
          <w:tcPr>
            <w:tcW w:w="0" w:type="auto"/>
            <w:tcBorders>
              <w:top w:val="nil"/>
              <w:left w:val="nil"/>
              <w:bottom w:val="single" w:sz="4" w:space="0" w:color="auto"/>
              <w:right w:val="nil"/>
            </w:tcBorders>
            <w:vAlign w:val="center"/>
          </w:tcPr>
          <w:p w14:paraId="3A9195C8" w14:textId="77777777" w:rsidR="000D14C2" w:rsidRPr="00FE7ADB" w:rsidRDefault="000D14C2" w:rsidP="00CC52D3">
            <w:pPr>
              <w:widowControl w:val="0"/>
              <w:autoSpaceDE w:val="0"/>
              <w:autoSpaceDN w:val="0"/>
              <w:adjustRightInd w:val="0"/>
              <w:spacing w:line="240" w:lineRule="auto"/>
              <w:jc w:val="center"/>
              <w:rPr>
                <w:rFonts w:ascii="Arial" w:hAnsi="Arial" w:cs="Arial"/>
                <w:sz w:val="16"/>
                <w:szCs w:val="16"/>
              </w:rPr>
            </w:pPr>
            <w:r>
              <w:rPr>
                <w:rFonts w:ascii="Arial" w:hAnsi="Arial" w:cs="Arial"/>
                <w:sz w:val="16"/>
                <w:szCs w:val="16"/>
              </w:rPr>
              <w:t>0.012</w:t>
            </w:r>
          </w:p>
        </w:tc>
      </w:tr>
      <w:tr w:rsidR="000D14C2" w:rsidRPr="00FE7ADB" w14:paraId="603A3263" w14:textId="77777777" w:rsidTr="000D14C2">
        <w:trPr>
          <w:trHeight w:hRule="exact" w:val="284"/>
        </w:trPr>
        <w:tc>
          <w:tcPr>
            <w:tcW w:w="0" w:type="auto"/>
            <w:tcBorders>
              <w:top w:val="single" w:sz="4" w:space="0" w:color="auto"/>
              <w:left w:val="nil"/>
              <w:bottom w:val="nil"/>
              <w:right w:val="nil"/>
            </w:tcBorders>
            <w:vAlign w:val="center"/>
            <w:hideMark/>
          </w:tcPr>
          <w:p w14:paraId="76968767" w14:textId="77777777" w:rsidR="000C3E9E" w:rsidRPr="00FE7ADB" w:rsidRDefault="000C3E9E" w:rsidP="00CC52D3">
            <w:pPr>
              <w:widowControl w:val="0"/>
              <w:autoSpaceDE w:val="0"/>
              <w:autoSpaceDN w:val="0"/>
              <w:adjustRightInd w:val="0"/>
              <w:spacing w:line="240" w:lineRule="auto"/>
              <w:jc w:val="both"/>
              <w:rPr>
                <w:rFonts w:ascii="Arial" w:hAnsi="Arial" w:cs="Arial"/>
                <w:b/>
                <w:color w:val="000000" w:themeColor="text1"/>
                <w:sz w:val="16"/>
                <w:szCs w:val="16"/>
                <w:lang w:val="en-US" w:eastAsia="en-US"/>
              </w:rPr>
            </w:pPr>
            <w:r w:rsidRPr="00FE7ADB">
              <w:rPr>
                <w:rFonts w:ascii="Arial" w:hAnsi="Arial" w:cs="Arial"/>
                <w:b/>
                <w:sz w:val="16"/>
                <w:szCs w:val="16"/>
              </w:rPr>
              <w:t>Random effects</w:t>
            </w:r>
          </w:p>
        </w:tc>
        <w:tc>
          <w:tcPr>
            <w:tcW w:w="0" w:type="auto"/>
            <w:gridSpan w:val="2"/>
            <w:tcBorders>
              <w:top w:val="single" w:sz="4" w:space="0" w:color="auto"/>
              <w:left w:val="nil"/>
              <w:bottom w:val="nil"/>
              <w:right w:val="nil"/>
            </w:tcBorders>
            <w:vAlign w:val="center"/>
          </w:tcPr>
          <w:p w14:paraId="07D5663E"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single" w:sz="4" w:space="0" w:color="auto"/>
              <w:left w:val="nil"/>
              <w:bottom w:val="nil"/>
              <w:right w:val="nil"/>
            </w:tcBorders>
            <w:vAlign w:val="center"/>
          </w:tcPr>
          <w:p w14:paraId="20C01AB0"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single" w:sz="4" w:space="0" w:color="auto"/>
              <w:left w:val="nil"/>
              <w:bottom w:val="nil"/>
              <w:right w:val="nil"/>
            </w:tcBorders>
            <w:vAlign w:val="center"/>
          </w:tcPr>
          <w:p w14:paraId="04CC9454"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single" w:sz="4" w:space="0" w:color="auto"/>
              <w:left w:val="nil"/>
              <w:bottom w:val="nil"/>
              <w:right w:val="nil"/>
            </w:tcBorders>
            <w:vAlign w:val="center"/>
          </w:tcPr>
          <w:p w14:paraId="37630B72"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single" w:sz="4" w:space="0" w:color="auto"/>
              <w:left w:val="nil"/>
              <w:bottom w:val="nil"/>
              <w:right w:val="nil"/>
            </w:tcBorders>
            <w:vAlign w:val="center"/>
          </w:tcPr>
          <w:p w14:paraId="6DBADF57"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gridSpan w:val="2"/>
            <w:tcBorders>
              <w:top w:val="single" w:sz="4" w:space="0" w:color="auto"/>
              <w:left w:val="nil"/>
              <w:bottom w:val="nil"/>
              <w:right w:val="nil"/>
            </w:tcBorders>
            <w:vAlign w:val="center"/>
          </w:tcPr>
          <w:p w14:paraId="3516FF06"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c>
          <w:tcPr>
            <w:tcW w:w="0" w:type="auto"/>
            <w:tcBorders>
              <w:top w:val="single" w:sz="4" w:space="0" w:color="auto"/>
              <w:left w:val="nil"/>
              <w:bottom w:val="nil"/>
              <w:right w:val="nil"/>
            </w:tcBorders>
            <w:vAlign w:val="center"/>
          </w:tcPr>
          <w:p w14:paraId="4E424ABE"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p>
        </w:tc>
      </w:tr>
      <w:tr w:rsidR="000C3E9E" w:rsidRPr="00FE7ADB" w14:paraId="681891B0" w14:textId="77777777" w:rsidTr="000D14C2">
        <w:trPr>
          <w:trHeight w:hRule="exact" w:val="284"/>
        </w:trPr>
        <w:tc>
          <w:tcPr>
            <w:tcW w:w="0" w:type="auto"/>
            <w:tcBorders>
              <w:top w:val="nil"/>
              <w:left w:val="nil"/>
              <w:bottom w:val="nil"/>
              <w:right w:val="nil"/>
            </w:tcBorders>
            <w:vAlign w:val="center"/>
            <w:hideMark/>
          </w:tcPr>
          <w:p w14:paraId="33ABF83A" w14:textId="1BCDE2A0" w:rsidR="000C3E9E" w:rsidRPr="00FE7ADB" w:rsidRDefault="00472E0E" w:rsidP="00CC52D3">
            <w:pPr>
              <w:widowControl w:val="0"/>
              <w:autoSpaceDE w:val="0"/>
              <w:autoSpaceDN w:val="0"/>
              <w:adjustRightInd w:val="0"/>
              <w:spacing w:line="240" w:lineRule="auto"/>
              <w:jc w:val="both"/>
              <w:rPr>
                <w:rFonts w:ascii="Arial" w:hAnsi="Arial" w:cs="Arial"/>
                <w:color w:val="000000" w:themeColor="text1"/>
                <w:sz w:val="16"/>
                <w:szCs w:val="16"/>
                <w:lang w:val="en-US" w:eastAsia="en-US"/>
              </w:rPr>
            </w:pPr>
            <w:r>
              <w:rPr>
                <w:rFonts w:ascii="Arial" w:hAnsi="Arial" w:cs="Arial"/>
                <w:sz w:val="16"/>
                <w:szCs w:val="16"/>
              </w:rPr>
              <w:t>ICC</w:t>
            </w:r>
          </w:p>
        </w:tc>
        <w:tc>
          <w:tcPr>
            <w:tcW w:w="0" w:type="auto"/>
            <w:gridSpan w:val="3"/>
            <w:tcBorders>
              <w:top w:val="nil"/>
              <w:left w:val="nil"/>
              <w:bottom w:val="nil"/>
              <w:right w:val="nil"/>
            </w:tcBorders>
            <w:vAlign w:val="center"/>
            <w:hideMark/>
          </w:tcPr>
          <w:p w14:paraId="675E9100"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.925</w:t>
            </w:r>
          </w:p>
        </w:tc>
        <w:tc>
          <w:tcPr>
            <w:tcW w:w="0" w:type="auto"/>
            <w:gridSpan w:val="3"/>
            <w:tcBorders>
              <w:top w:val="nil"/>
              <w:left w:val="nil"/>
              <w:bottom w:val="nil"/>
              <w:right w:val="nil"/>
            </w:tcBorders>
            <w:vAlign w:val="center"/>
            <w:hideMark/>
          </w:tcPr>
          <w:p w14:paraId="31ED953A"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.924</w:t>
            </w:r>
          </w:p>
        </w:tc>
        <w:tc>
          <w:tcPr>
            <w:tcW w:w="0" w:type="auto"/>
            <w:gridSpan w:val="3"/>
            <w:tcBorders>
              <w:top w:val="nil"/>
              <w:left w:val="nil"/>
              <w:bottom w:val="nil"/>
              <w:right w:val="nil"/>
            </w:tcBorders>
            <w:vAlign w:val="center"/>
            <w:hideMark/>
          </w:tcPr>
          <w:p w14:paraId="02829EF3"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.912</w:t>
            </w:r>
          </w:p>
        </w:tc>
      </w:tr>
      <w:tr w:rsidR="000D14C2" w:rsidRPr="00FE7ADB" w14:paraId="7D614881" w14:textId="77777777" w:rsidTr="000D14C2">
        <w:trPr>
          <w:trHeight w:hRule="exact" w:val="284"/>
        </w:trPr>
        <w:tc>
          <w:tcPr>
            <w:tcW w:w="0" w:type="auto"/>
            <w:tcBorders>
              <w:top w:val="nil"/>
              <w:left w:val="nil"/>
              <w:bottom w:val="single" w:sz="4" w:space="0" w:color="auto"/>
              <w:right w:val="nil"/>
            </w:tcBorders>
            <w:vAlign w:val="center"/>
            <w:hideMark/>
          </w:tcPr>
          <w:p w14:paraId="1199FCBC" w14:textId="77777777" w:rsidR="000C3E9E" w:rsidRPr="00FE7ADB" w:rsidRDefault="000C3E9E" w:rsidP="00CC52D3">
            <w:pPr>
              <w:widowControl w:val="0"/>
              <w:autoSpaceDE w:val="0"/>
              <w:autoSpaceDN w:val="0"/>
              <w:adjustRightInd w:val="0"/>
              <w:spacing w:line="240" w:lineRule="auto"/>
              <w:jc w:val="both"/>
              <w:rPr>
                <w:rFonts w:ascii="Arial" w:hAnsi="Arial" w:cs="Arial"/>
                <w:b/>
                <w:color w:val="000000" w:themeColor="text1"/>
                <w:sz w:val="16"/>
                <w:szCs w:val="16"/>
                <w:lang w:val="en-US" w:eastAsia="en-US"/>
              </w:rPr>
            </w:pPr>
            <w:r w:rsidRPr="00FE7ADB">
              <w:rPr>
                <w:rFonts w:ascii="Arial" w:hAnsi="Arial" w:cs="Arial"/>
                <w:b/>
                <w:sz w:val="16"/>
                <w:szCs w:val="16"/>
              </w:rPr>
              <w:t>Explained variance (AIC/BIC)</w:t>
            </w:r>
          </w:p>
        </w:tc>
        <w:tc>
          <w:tcPr>
            <w:tcW w:w="0" w:type="auto"/>
            <w:gridSpan w:val="2"/>
            <w:tcBorders>
              <w:top w:val="nil"/>
              <w:left w:val="nil"/>
              <w:bottom w:val="single" w:sz="4" w:space="0" w:color="auto"/>
              <w:right w:val="nil"/>
            </w:tcBorders>
            <w:vAlign w:val="center"/>
            <w:hideMark/>
          </w:tcPr>
          <w:p w14:paraId="5B818313" w14:textId="77777777" w:rsidR="000C3E9E" w:rsidRPr="00FE7ADB" w:rsidRDefault="00251D19"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Pr>
                <w:rFonts w:ascii="Arial" w:hAnsi="Arial" w:cs="Arial"/>
                <w:sz w:val="16"/>
                <w:szCs w:val="16"/>
              </w:rPr>
              <w:t>3036.51</w:t>
            </w:r>
          </w:p>
        </w:tc>
        <w:tc>
          <w:tcPr>
            <w:tcW w:w="0" w:type="auto"/>
            <w:tcBorders>
              <w:top w:val="nil"/>
              <w:left w:val="nil"/>
              <w:bottom w:val="single" w:sz="4" w:space="0" w:color="auto"/>
              <w:right w:val="nil"/>
            </w:tcBorders>
            <w:vAlign w:val="center"/>
            <w:hideMark/>
          </w:tcPr>
          <w:p w14:paraId="128E5462"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3130.92</w:t>
            </w:r>
          </w:p>
        </w:tc>
        <w:tc>
          <w:tcPr>
            <w:tcW w:w="0" w:type="auto"/>
            <w:tcBorders>
              <w:top w:val="nil"/>
              <w:left w:val="nil"/>
              <w:bottom w:val="single" w:sz="4" w:space="0" w:color="auto"/>
              <w:right w:val="nil"/>
            </w:tcBorders>
            <w:vAlign w:val="center"/>
            <w:hideMark/>
          </w:tcPr>
          <w:p w14:paraId="7947FD54"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3034.85</w:t>
            </w:r>
          </w:p>
        </w:tc>
        <w:tc>
          <w:tcPr>
            <w:tcW w:w="0" w:type="auto"/>
            <w:gridSpan w:val="2"/>
            <w:tcBorders>
              <w:top w:val="nil"/>
              <w:left w:val="nil"/>
              <w:bottom w:val="single" w:sz="4" w:space="0" w:color="auto"/>
              <w:right w:val="nil"/>
            </w:tcBorders>
            <w:vAlign w:val="center"/>
            <w:hideMark/>
          </w:tcPr>
          <w:p w14:paraId="59CE7587" w14:textId="77777777" w:rsidR="000C3E9E" w:rsidRPr="00FE7ADB" w:rsidRDefault="000C3E9E" w:rsidP="00CC52D3">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3141.85</w:t>
            </w:r>
          </w:p>
        </w:tc>
        <w:tc>
          <w:tcPr>
            <w:tcW w:w="0" w:type="auto"/>
            <w:gridSpan w:val="2"/>
            <w:tcBorders>
              <w:top w:val="nil"/>
              <w:left w:val="nil"/>
              <w:bottom w:val="single" w:sz="4" w:space="0" w:color="auto"/>
              <w:right w:val="nil"/>
            </w:tcBorders>
            <w:vAlign w:val="center"/>
            <w:hideMark/>
          </w:tcPr>
          <w:p w14:paraId="607F992D"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2944.6</w:t>
            </w:r>
            <w:r w:rsidR="00251D19">
              <w:rPr>
                <w:rFonts w:ascii="Arial" w:hAnsi="Arial" w:cs="Arial"/>
                <w:sz w:val="16"/>
                <w:szCs w:val="16"/>
              </w:rPr>
              <w:t>8</w:t>
            </w:r>
          </w:p>
        </w:tc>
        <w:tc>
          <w:tcPr>
            <w:tcW w:w="0" w:type="auto"/>
            <w:tcBorders>
              <w:top w:val="nil"/>
              <w:left w:val="nil"/>
              <w:bottom w:val="single" w:sz="4" w:space="0" w:color="auto"/>
              <w:right w:val="nil"/>
            </w:tcBorders>
            <w:vAlign w:val="center"/>
            <w:hideMark/>
          </w:tcPr>
          <w:p w14:paraId="1A244B16" w14:textId="77777777" w:rsidR="000C3E9E" w:rsidRPr="00FE7ADB" w:rsidRDefault="000C3E9E" w:rsidP="00251D19">
            <w:pPr>
              <w:widowControl w:val="0"/>
              <w:autoSpaceDE w:val="0"/>
              <w:autoSpaceDN w:val="0"/>
              <w:adjustRightInd w:val="0"/>
              <w:spacing w:line="240" w:lineRule="auto"/>
              <w:jc w:val="center"/>
              <w:rPr>
                <w:rFonts w:ascii="Arial" w:hAnsi="Arial" w:cs="Arial"/>
                <w:color w:val="000000" w:themeColor="text1"/>
                <w:sz w:val="16"/>
                <w:szCs w:val="16"/>
                <w:lang w:val="en-US" w:eastAsia="en-US"/>
              </w:rPr>
            </w:pPr>
            <w:r w:rsidRPr="00FE7ADB">
              <w:rPr>
                <w:rFonts w:ascii="Arial" w:hAnsi="Arial" w:cs="Arial"/>
                <w:sz w:val="16"/>
                <w:szCs w:val="16"/>
              </w:rPr>
              <w:t>3045.38</w:t>
            </w:r>
          </w:p>
        </w:tc>
      </w:tr>
      <w:tr w:rsidR="000C3E9E" w:rsidRPr="00472E0E" w14:paraId="3EB09E71" w14:textId="77777777" w:rsidTr="000D14C2">
        <w:trPr>
          <w:trHeight w:hRule="exact" w:val="284"/>
        </w:trPr>
        <w:tc>
          <w:tcPr>
            <w:tcW w:w="0" w:type="auto"/>
            <w:gridSpan w:val="10"/>
            <w:tcBorders>
              <w:top w:val="single" w:sz="4" w:space="0" w:color="auto"/>
              <w:left w:val="nil"/>
              <w:bottom w:val="single" w:sz="4" w:space="0" w:color="auto"/>
              <w:right w:val="nil"/>
            </w:tcBorders>
            <w:vAlign w:val="center"/>
            <w:hideMark/>
          </w:tcPr>
          <w:p w14:paraId="182781F0" w14:textId="77777777" w:rsidR="000C3E9E" w:rsidRPr="00FE7ADB" w:rsidRDefault="000C3E9E" w:rsidP="000D14C2">
            <w:pPr>
              <w:widowControl w:val="0"/>
              <w:autoSpaceDE w:val="0"/>
              <w:autoSpaceDN w:val="0"/>
              <w:adjustRightInd w:val="0"/>
              <w:spacing w:line="240" w:lineRule="auto"/>
              <w:rPr>
                <w:rFonts w:ascii="Arial" w:hAnsi="Arial" w:cs="Arial"/>
                <w:color w:val="000000" w:themeColor="text1"/>
                <w:sz w:val="16"/>
                <w:szCs w:val="16"/>
                <w:lang w:val="en-US" w:eastAsia="en-US"/>
              </w:rPr>
            </w:pPr>
            <w:r w:rsidRPr="00FE7ADB">
              <w:rPr>
                <w:rFonts w:ascii="Arial" w:hAnsi="Arial" w:cs="Arial"/>
                <w:sz w:val="16"/>
                <w:szCs w:val="16"/>
                <w:vertAlign w:val="superscript"/>
                <w:lang w:val="en-US"/>
              </w:rPr>
              <w:t>*</w:t>
            </w:r>
            <w:r w:rsidRPr="00FE7ADB">
              <w:rPr>
                <w:rFonts w:ascii="Arial" w:hAnsi="Arial" w:cs="Arial"/>
                <w:sz w:val="16"/>
                <w:szCs w:val="16"/>
                <w:lang w:val="en-US"/>
              </w:rPr>
              <w:t xml:space="preserve"> </w:t>
            </w:r>
            <w:r w:rsidRPr="00FE7ADB">
              <w:rPr>
                <w:rFonts w:ascii="Arial" w:hAnsi="Arial" w:cs="Arial"/>
                <w:i/>
                <w:iCs/>
                <w:sz w:val="16"/>
                <w:szCs w:val="16"/>
                <w:lang w:val="en-US"/>
              </w:rPr>
              <w:t>p</w:t>
            </w:r>
            <w:r w:rsidRPr="00FE7ADB">
              <w:rPr>
                <w:rFonts w:ascii="Arial" w:hAnsi="Arial" w:cs="Arial"/>
                <w:sz w:val="16"/>
                <w:szCs w:val="16"/>
                <w:lang w:val="en-US"/>
              </w:rPr>
              <w:t xml:space="preserve"> &lt; 0.10, </w:t>
            </w:r>
            <w:r w:rsidRPr="00FE7ADB">
              <w:rPr>
                <w:rFonts w:ascii="Arial" w:hAnsi="Arial" w:cs="Arial"/>
                <w:sz w:val="16"/>
                <w:szCs w:val="16"/>
                <w:vertAlign w:val="superscript"/>
                <w:lang w:val="en-US"/>
              </w:rPr>
              <w:t>**</w:t>
            </w:r>
            <w:r w:rsidRPr="00FE7ADB">
              <w:rPr>
                <w:rFonts w:ascii="Arial" w:hAnsi="Arial" w:cs="Arial"/>
                <w:sz w:val="16"/>
                <w:szCs w:val="16"/>
                <w:lang w:val="en-US"/>
              </w:rPr>
              <w:t xml:space="preserve"> </w:t>
            </w:r>
            <w:r w:rsidRPr="00FE7ADB">
              <w:rPr>
                <w:rFonts w:ascii="Arial" w:hAnsi="Arial" w:cs="Arial"/>
                <w:i/>
                <w:iCs/>
                <w:sz w:val="16"/>
                <w:szCs w:val="16"/>
                <w:lang w:val="en-US"/>
              </w:rPr>
              <w:t>p</w:t>
            </w:r>
            <w:r w:rsidRPr="00FE7ADB">
              <w:rPr>
                <w:rFonts w:ascii="Arial" w:hAnsi="Arial" w:cs="Arial"/>
                <w:sz w:val="16"/>
                <w:szCs w:val="16"/>
                <w:lang w:val="en-US"/>
              </w:rPr>
              <w:t xml:space="preserve"> &lt; 0.05, </w:t>
            </w:r>
            <w:r w:rsidRPr="00FE7ADB">
              <w:rPr>
                <w:rFonts w:ascii="Arial" w:hAnsi="Arial" w:cs="Arial"/>
                <w:sz w:val="16"/>
                <w:szCs w:val="16"/>
                <w:vertAlign w:val="superscript"/>
                <w:lang w:val="en-US"/>
              </w:rPr>
              <w:t>***</w:t>
            </w:r>
            <w:r w:rsidRPr="00FE7ADB">
              <w:rPr>
                <w:rFonts w:ascii="Arial" w:hAnsi="Arial" w:cs="Arial"/>
                <w:sz w:val="16"/>
                <w:szCs w:val="16"/>
                <w:lang w:val="en-US"/>
              </w:rPr>
              <w:t xml:space="preserve"> </w:t>
            </w:r>
            <w:r w:rsidRPr="00FE7ADB">
              <w:rPr>
                <w:rFonts w:ascii="Arial" w:hAnsi="Arial" w:cs="Arial"/>
                <w:i/>
                <w:iCs/>
                <w:sz w:val="16"/>
                <w:szCs w:val="16"/>
                <w:lang w:val="en-US"/>
              </w:rPr>
              <w:t>p</w:t>
            </w:r>
            <w:r w:rsidRPr="00FE7ADB">
              <w:rPr>
                <w:rFonts w:ascii="Arial" w:hAnsi="Arial" w:cs="Arial"/>
                <w:sz w:val="16"/>
                <w:szCs w:val="16"/>
                <w:lang w:val="en-US"/>
              </w:rPr>
              <w:t xml:space="preserve"> &lt; 0.01. N votes = 4000 ,  N cases  = 806</w:t>
            </w:r>
          </w:p>
        </w:tc>
      </w:tr>
    </w:tbl>
    <w:p w14:paraId="18BB2F1E" w14:textId="77777777" w:rsidR="00D7097D" w:rsidRDefault="00D7097D" w:rsidP="00D7097D">
      <w:pPr>
        <w:rPr>
          <w:rFonts w:cstheme="minorBidi"/>
          <w:color w:val="000000" w:themeColor="text1"/>
          <w:szCs w:val="22"/>
          <w:lang w:val="en-US" w:eastAsia="en-US"/>
        </w:rPr>
      </w:pPr>
    </w:p>
    <w:p w14:paraId="600B521C" w14:textId="77777777" w:rsidR="002D4564" w:rsidRDefault="002D4564">
      <w:pPr>
        <w:rPr>
          <w:lang w:val="en-US"/>
        </w:rPr>
      </w:pPr>
      <w:r>
        <w:rPr>
          <w:lang w:val="en-US"/>
        </w:rPr>
        <w:br w:type="page"/>
      </w:r>
    </w:p>
    <w:p w14:paraId="2D59EF90" w14:textId="77777777" w:rsidR="007C6D5E" w:rsidRDefault="007C6D5E" w:rsidP="00C71F1F">
      <w:pPr>
        <w:rPr>
          <w:lang w:val="en-US"/>
        </w:rPr>
      </w:pPr>
    </w:p>
    <w:p w14:paraId="6E4836A9" w14:textId="77777777" w:rsidR="002D4564" w:rsidRPr="003960D9" w:rsidRDefault="002D4564" w:rsidP="002D4564">
      <w:pPr>
        <w:rPr>
          <w:rStyle w:val="Sterk"/>
          <w:lang w:val="en-US"/>
        </w:rPr>
      </w:pPr>
      <w:r w:rsidRPr="003960D9">
        <w:rPr>
          <w:rStyle w:val="Sterk"/>
          <w:lang w:val="en-US"/>
        </w:rPr>
        <w:t>Table A2. Marginal Effects of the Independent Variables on the Probability of Voting for the Public Rights Claimant</w:t>
      </w:r>
    </w:p>
    <w:p w14:paraId="6365D8F2" w14:textId="77777777" w:rsidR="002D4564" w:rsidRPr="002D4564" w:rsidRDefault="002D4564" w:rsidP="002D4564">
      <w:pPr>
        <w:rPr>
          <w:lang w:val="en-US"/>
        </w:rPr>
      </w:pPr>
    </w:p>
    <w:tbl>
      <w:tblPr>
        <w:tblStyle w:val="Tabellrutenett"/>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985"/>
        <w:gridCol w:w="1559"/>
        <w:gridCol w:w="1559"/>
        <w:gridCol w:w="1701"/>
      </w:tblGrid>
      <w:tr w:rsidR="002D4564" w:rsidRPr="002D4564" w14:paraId="50FCAE2B" w14:textId="77777777" w:rsidTr="002D4564">
        <w:tc>
          <w:tcPr>
            <w:tcW w:w="2376" w:type="dxa"/>
            <w:tcBorders>
              <w:bottom w:val="single" w:sz="4" w:space="0" w:color="auto"/>
            </w:tcBorders>
            <w:vAlign w:val="center"/>
          </w:tcPr>
          <w:p w14:paraId="554096F3" w14:textId="77777777" w:rsidR="002D4564" w:rsidRPr="002D4564" w:rsidRDefault="002D4564" w:rsidP="00F05911">
            <w:pPr>
              <w:jc w:val="center"/>
              <w:rPr>
                <w:rFonts w:ascii="Arial" w:hAnsi="Arial" w:cs="Arial"/>
                <w:b/>
                <w:sz w:val="16"/>
                <w:szCs w:val="16"/>
              </w:rPr>
            </w:pPr>
            <w:r w:rsidRPr="002D4564">
              <w:rPr>
                <w:rFonts w:ascii="Arial" w:hAnsi="Arial" w:cs="Arial"/>
                <w:b/>
                <w:sz w:val="16"/>
                <w:szCs w:val="16"/>
              </w:rPr>
              <w:t>Variable</w:t>
            </w:r>
          </w:p>
        </w:tc>
        <w:tc>
          <w:tcPr>
            <w:tcW w:w="1985" w:type="dxa"/>
            <w:tcBorders>
              <w:bottom w:val="single" w:sz="4" w:space="0" w:color="auto"/>
            </w:tcBorders>
            <w:vAlign w:val="center"/>
          </w:tcPr>
          <w:p w14:paraId="29EBDCB8" w14:textId="77777777" w:rsidR="002D4564" w:rsidRPr="002D4564" w:rsidRDefault="002D4564" w:rsidP="00F05911">
            <w:pPr>
              <w:jc w:val="center"/>
              <w:rPr>
                <w:rFonts w:ascii="Arial" w:hAnsi="Arial" w:cs="Arial"/>
                <w:b/>
                <w:sz w:val="16"/>
                <w:szCs w:val="16"/>
              </w:rPr>
            </w:pPr>
            <w:r w:rsidRPr="002D4564">
              <w:rPr>
                <w:rFonts w:ascii="Arial" w:hAnsi="Arial" w:cs="Arial"/>
                <w:b/>
                <w:sz w:val="16"/>
                <w:szCs w:val="16"/>
              </w:rPr>
              <w:t>Probability of DV = 1</w:t>
            </w:r>
          </w:p>
        </w:tc>
        <w:tc>
          <w:tcPr>
            <w:tcW w:w="1559" w:type="dxa"/>
            <w:tcBorders>
              <w:bottom w:val="single" w:sz="4" w:space="0" w:color="auto"/>
            </w:tcBorders>
            <w:vAlign w:val="center"/>
          </w:tcPr>
          <w:p w14:paraId="587F3CA9" w14:textId="77777777" w:rsidR="002D4564" w:rsidRPr="002D4564" w:rsidRDefault="002D4564" w:rsidP="00F05911">
            <w:pPr>
              <w:jc w:val="center"/>
              <w:rPr>
                <w:rFonts w:ascii="Arial" w:hAnsi="Arial" w:cs="Arial"/>
                <w:b/>
                <w:sz w:val="16"/>
                <w:szCs w:val="16"/>
              </w:rPr>
            </w:pPr>
            <w:r w:rsidRPr="002D4564">
              <w:rPr>
                <w:rFonts w:ascii="Arial" w:hAnsi="Arial" w:cs="Arial"/>
                <w:b/>
                <w:sz w:val="16"/>
                <w:szCs w:val="16"/>
              </w:rPr>
              <w:t>Standard Error</w:t>
            </w:r>
          </w:p>
        </w:tc>
        <w:tc>
          <w:tcPr>
            <w:tcW w:w="3260" w:type="dxa"/>
            <w:gridSpan w:val="2"/>
            <w:tcBorders>
              <w:bottom w:val="single" w:sz="4" w:space="0" w:color="auto"/>
            </w:tcBorders>
            <w:vAlign w:val="center"/>
          </w:tcPr>
          <w:p w14:paraId="2446F39E" w14:textId="77777777" w:rsidR="002D4564" w:rsidRPr="002D4564" w:rsidRDefault="002D4564" w:rsidP="00F05911">
            <w:pPr>
              <w:jc w:val="center"/>
              <w:rPr>
                <w:rFonts w:ascii="Arial" w:hAnsi="Arial" w:cs="Arial"/>
                <w:b/>
                <w:sz w:val="16"/>
                <w:szCs w:val="16"/>
              </w:rPr>
            </w:pPr>
            <w:r w:rsidRPr="002D4564">
              <w:rPr>
                <w:rFonts w:ascii="Arial" w:hAnsi="Arial" w:cs="Arial"/>
                <w:b/>
                <w:sz w:val="16"/>
                <w:szCs w:val="16"/>
              </w:rPr>
              <w:t>95% Confidence Interval</w:t>
            </w:r>
          </w:p>
        </w:tc>
      </w:tr>
      <w:tr w:rsidR="002D4564" w:rsidRPr="002D4564" w14:paraId="77147A3E" w14:textId="77777777" w:rsidTr="002D4564">
        <w:tc>
          <w:tcPr>
            <w:tcW w:w="2376" w:type="dxa"/>
            <w:tcBorders>
              <w:top w:val="single" w:sz="4" w:space="0" w:color="auto"/>
            </w:tcBorders>
          </w:tcPr>
          <w:p w14:paraId="08B28330" w14:textId="77777777" w:rsidR="002D4564" w:rsidRPr="002D4564" w:rsidRDefault="002D4564" w:rsidP="00F05911">
            <w:pPr>
              <w:rPr>
                <w:rFonts w:ascii="Arial" w:hAnsi="Arial" w:cs="Arial"/>
                <w:sz w:val="16"/>
                <w:szCs w:val="16"/>
              </w:rPr>
            </w:pPr>
          </w:p>
        </w:tc>
        <w:tc>
          <w:tcPr>
            <w:tcW w:w="1985" w:type="dxa"/>
            <w:tcBorders>
              <w:top w:val="single" w:sz="4" w:space="0" w:color="auto"/>
            </w:tcBorders>
            <w:vAlign w:val="center"/>
          </w:tcPr>
          <w:p w14:paraId="435F7A91" w14:textId="77777777" w:rsidR="002D4564" w:rsidRPr="002D4564" w:rsidRDefault="002D4564" w:rsidP="00F05911">
            <w:pPr>
              <w:jc w:val="center"/>
              <w:rPr>
                <w:rFonts w:ascii="Arial" w:hAnsi="Arial" w:cs="Arial"/>
                <w:sz w:val="16"/>
                <w:szCs w:val="16"/>
              </w:rPr>
            </w:pPr>
          </w:p>
        </w:tc>
        <w:tc>
          <w:tcPr>
            <w:tcW w:w="1559" w:type="dxa"/>
            <w:tcBorders>
              <w:top w:val="single" w:sz="4" w:space="0" w:color="auto"/>
            </w:tcBorders>
            <w:vAlign w:val="center"/>
          </w:tcPr>
          <w:p w14:paraId="40EDD402" w14:textId="77777777" w:rsidR="002D4564" w:rsidRPr="002D4564" w:rsidRDefault="002D4564" w:rsidP="00F05911">
            <w:pPr>
              <w:jc w:val="center"/>
              <w:rPr>
                <w:rFonts w:ascii="Arial" w:hAnsi="Arial" w:cs="Arial"/>
                <w:sz w:val="16"/>
                <w:szCs w:val="16"/>
              </w:rPr>
            </w:pPr>
          </w:p>
        </w:tc>
        <w:tc>
          <w:tcPr>
            <w:tcW w:w="1559" w:type="dxa"/>
            <w:tcBorders>
              <w:top w:val="single" w:sz="4" w:space="0" w:color="auto"/>
            </w:tcBorders>
            <w:vAlign w:val="center"/>
          </w:tcPr>
          <w:p w14:paraId="7EEB2791" w14:textId="77777777" w:rsidR="002D4564" w:rsidRPr="002D4564" w:rsidRDefault="002D4564" w:rsidP="00F05911">
            <w:pPr>
              <w:jc w:val="center"/>
              <w:rPr>
                <w:rFonts w:ascii="Arial" w:hAnsi="Arial" w:cs="Arial"/>
                <w:sz w:val="16"/>
                <w:szCs w:val="16"/>
              </w:rPr>
            </w:pPr>
          </w:p>
        </w:tc>
        <w:tc>
          <w:tcPr>
            <w:tcW w:w="1701" w:type="dxa"/>
            <w:tcBorders>
              <w:top w:val="single" w:sz="4" w:space="0" w:color="auto"/>
            </w:tcBorders>
            <w:vAlign w:val="center"/>
          </w:tcPr>
          <w:p w14:paraId="1E59D386" w14:textId="77777777" w:rsidR="002D4564" w:rsidRPr="002D4564" w:rsidRDefault="002D4564" w:rsidP="00F05911">
            <w:pPr>
              <w:jc w:val="center"/>
              <w:rPr>
                <w:rFonts w:ascii="Arial" w:hAnsi="Arial" w:cs="Arial"/>
                <w:sz w:val="16"/>
                <w:szCs w:val="16"/>
              </w:rPr>
            </w:pPr>
          </w:p>
        </w:tc>
      </w:tr>
      <w:tr w:rsidR="002D4564" w:rsidRPr="002D4564" w14:paraId="3C2B28C0" w14:textId="77777777" w:rsidTr="002D4564">
        <w:tc>
          <w:tcPr>
            <w:tcW w:w="2376" w:type="dxa"/>
          </w:tcPr>
          <w:p w14:paraId="67A29010" w14:textId="77777777" w:rsidR="002D4564" w:rsidRPr="002D4564" w:rsidRDefault="002D4564" w:rsidP="00F05911">
            <w:pPr>
              <w:rPr>
                <w:rFonts w:ascii="Arial" w:hAnsi="Arial" w:cs="Arial"/>
                <w:sz w:val="16"/>
                <w:szCs w:val="16"/>
              </w:rPr>
            </w:pPr>
            <w:r w:rsidRPr="002D4564">
              <w:rPr>
                <w:rFonts w:ascii="Arial" w:hAnsi="Arial" w:cs="Arial"/>
                <w:sz w:val="16"/>
                <w:szCs w:val="16"/>
              </w:rPr>
              <w:t>Social Democratic Appointee</w:t>
            </w:r>
          </w:p>
        </w:tc>
        <w:tc>
          <w:tcPr>
            <w:tcW w:w="1985" w:type="dxa"/>
            <w:vAlign w:val="center"/>
          </w:tcPr>
          <w:p w14:paraId="627D933F" w14:textId="77777777" w:rsidR="002D4564" w:rsidRPr="002D4564" w:rsidRDefault="002D4564" w:rsidP="00F05911">
            <w:pPr>
              <w:jc w:val="center"/>
              <w:rPr>
                <w:rFonts w:ascii="Arial" w:hAnsi="Arial" w:cs="Arial"/>
                <w:sz w:val="16"/>
                <w:szCs w:val="16"/>
              </w:rPr>
            </w:pPr>
            <w:r w:rsidRPr="002D4564">
              <w:rPr>
                <w:rFonts w:ascii="Arial" w:hAnsi="Arial" w:cs="Arial"/>
                <w:sz w:val="16"/>
                <w:szCs w:val="16"/>
              </w:rPr>
              <w:t>.066</w:t>
            </w:r>
          </w:p>
        </w:tc>
        <w:tc>
          <w:tcPr>
            <w:tcW w:w="1559" w:type="dxa"/>
            <w:vAlign w:val="center"/>
          </w:tcPr>
          <w:p w14:paraId="0686C523" w14:textId="77777777" w:rsidR="002D4564" w:rsidRPr="002D4564" w:rsidRDefault="002D4564" w:rsidP="00F05911">
            <w:pPr>
              <w:jc w:val="center"/>
              <w:rPr>
                <w:rFonts w:ascii="Arial" w:hAnsi="Arial" w:cs="Arial"/>
                <w:sz w:val="16"/>
                <w:szCs w:val="16"/>
              </w:rPr>
            </w:pPr>
            <w:r w:rsidRPr="002D4564">
              <w:rPr>
                <w:rFonts w:ascii="Arial" w:hAnsi="Arial" w:cs="Arial"/>
                <w:sz w:val="16"/>
                <w:szCs w:val="16"/>
              </w:rPr>
              <w:t>.025</w:t>
            </w:r>
          </w:p>
        </w:tc>
        <w:tc>
          <w:tcPr>
            <w:tcW w:w="1559" w:type="dxa"/>
            <w:vAlign w:val="center"/>
          </w:tcPr>
          <w:p w14:paraId="7B457CBE" w14:textId="77777777" w:rsidR="002D4564" w:rsidRPr="002D4564" w:rsidRDefault="002D4564" w:rsidP="00F05911">
            <w:pPr>
              <w:jc w:val="center"/>
              <w:rPr>
                <w:rFonts w:ascii="Arial" w:hAnsi="Arial" w:cs="Arial"/>
                <w:sz w:val="16"/>
                <w:szCs w:val="16"/>
              </w:rPr>
            </w:pPr>
            <w:r w:rsidRPr="002D4564">
              <w:rPr>
                <w:rFonts w:ascii="Arial" w:hAnsi="Arial" w:cs="Arial"/>
                <w:sz w:val="16"/>
                <w:szCs w:val="16"/>
              </w:rPr>
              <w:t>.017</w:t>
            </w:r>
          </w:p>
        </w:tc>
        <w:tc>
          <w:tcPr>
            <w:tcW w:w="1701" w:type="dxa"/>
            <w:vAlign w:val="center"/>
          </w:tcPr>
          <w:p w14:paraId="33CF8B99" w14:textId="77777777" w:rsidR="002D4564" w:rsidRPr="002D4564" w:rsidRDefault="002D4564" w:rsidP="00F05911">
            <w:pPr>
              <w:jc w:val="center"/>
              <w:rPr>
                <w:rFonts w:ascii="Arial" w:hAnsi="Arial" w:cs="Arial"/>
                <w:sz w:val="16"/>
                <w:szCs w:val="16"/>
              </w:rPr>
            </w:pPr>
            <w:r w:rsidRPr="002D4564">
              <w:rPr>
                <w:rFonts w:ascii="Arial" w:hAnsi="Arial" w:cs="Arial"/>
                <w:sz w:val="16"/>
                <w:szCs w:val="16"/>
              </w:rPr>
              <w:t>.115</w:t>
            </w:r>
          </w:p>
        </w:tc>
      </w:tr>
      <w:tr w:rsidR="002D4564" w:rsidRPr="002D4564" w14:paraId="77476BA0" w14:textId="77777777" w:rsidTr="002D4564">
        <w:tc>
          <w:tcPr>
            <w:tcW w:w="2376" w:type="dxa"/>
          </w:tcPr>
          <w:p w14:paraId="5EC7221E" w14:textId="77777777" w:rsidR="002D4564" w:rsidRPr="002D4564" w:rsidRDefault="002D4564" w:rsidP="00F05911">
            <w:pPr>
              <w:rPr>
                <w:rFonts w:ascii="Arial" w:hAnsi="Arial" w:cs="Arial"/>
                <w:sz w:val="16"/>
                <w:szCs w:val="16"/>
              </w:rPr>
            </w:pPr>
            <w:r w:rsidRPr="002D4564">
              <w:rPr>
                <w:rFonts w:ascii="Arial" w:hAnsi="Arial" w:cs="Arial"/>
                <w:sz w:val="16"/>
                <w:szCs w:val="16"/>
              </w:rPr>
              <w:t>Law Professor</w:t>
            </w:r>
          </w:p>
        </w:tc>
        <w:tc>
          <w:tcPr>
            <w:tcW w:w="1985" w:type="dxa"/>
            <w:vAlign w:val="center"/>
          </w:tcPr>
          <w:p w14:paraId="1874C6F9" w14:textId="77777777" w:rsidR="002D4564" w:rsidRPr="002D4564" w:rsidRDefault="002D4564" w:rsidP="00F05911">
            <w:pPr>
              <w:jc w:val="center"/>
              <w:rPr>
                <w:rFonts w:ascii="Arial" w:hAnsi="Arial" w:cs="Arial"/>
                <w:sz w:val="16"/>
                <w:szCs w:val="16"/>
              </w:rPr>
            </w:pPr>
            <w:r w:rsidRPr="002D4564">
              <w:rPr>
                <w:rFonts w:ascii="Arial" w:hAnsi="Arial" w:cs="Arial"/>
                <w:sz w:val="16"/>
                <w:szCs w:val="16"/>
              </w:rPr>
              <w:t>-.220</w:t>
            </w:r>
          </w:p>
        </w:tc>
        <w:tc>
          <w:tcPr>
            <w:tcW w:w="1559" w:type="dxa"/>
            <w:vAlign w:val="center"/>
          </w:tcPr>
          <w:p w14:paraId="5301EB6A" w14:textId="77777777" w:rsidR="002D4564" w:rsidRPr="002D4564" w:rsidRDefault="002D4564" w:rsidP="00F05911">
            <w:pPr>
              <w:jc w:val="center"/>
              <w:rPr>
                <w:rFonts w:ascii="Arial" w:hAnsi="Arial" w:cs="Arial"/>
                <w:sz w:val="16"/>
                <w:szCs w:val="16"/>
              </w:rPr>
            </w:pPr>
            <w:r w:rsidRPr="002D4564">
              <w:rPr>
                <w:rFonts w:ascii="Arial" w:hAnsi="Arial" w:cs="Arial"/>
                <w:sz w:val="16"/>
                <w:szCs w:val="16"/>
              </w:rPr>
              <w:t>.068</w:t>
            </w:r>
          </w:p>
        </w:tc>
        <w:tc>
          <w:tcPr>
            <w:tcW w:w="1559" w:type="dxa"/>
            <w:vAlign w:val="center"/>
          </w:tcPr>
          <w:p w14:paraId="0BB11AC0" w14:textId="77777777" w:rsidR="002D4564" w:rsidRPr="002D4564" w:rsidRDefault="002D4564" w:rsidP="00F05911">
            <w:pPr>
              <w:jc w:val="center"/>
              <w:rPr>
                <w:rFonts w:ascii="Arial" w:hAnsi="Arial" w:cs="Arial"/>
                <w:sz w:val="16"/>
                <w:szCs w:val="16"/>
              </w:rPr>
            </w:pPr>
            <w:r w:rsidRPr="002D4564">
              <w:rPr>
                <w:rFonts w:ascii="Arial" w:hAnsi="Arial" w:cs="Arial"/>
                <w:sz w:val="16"/>
                <w:szCs w:val="16"/>
              </w:rPr>
              <w:t>-.353</w:t>
            </w:r>
          </w:p>
        </w:tc>
        <w:tc>
          <w:tcPr>
            <w:tcW w:w="1701" w:type="dxa"/>
            <w:vAlign w:val="center"/>
          </w:tcPr>
          <w:p w14:paraId="245BF80A" w14:textId="77777777" w:rsidR="002D4564" w:rsidRPr="002D4564" w:rsidRDefault="002D4564" w:rsidP="00F05911">
            <w:pPr>
              <w:jc w:val="center"/>
              <w:rPr>
                <w:rFonts w:ascii="Arial" w:hAnsi="Arial" w:cs="Arial"/>
                <w:sz w:val="16"/>
                <w:szCs w:val="16"/>
              </w:rPr>
            </w:pPr>
            <w:r w:rsidRPr="002D4564">
              <w:rPr>
                <w:rFonts w:ascii="Arial" w:hAnsi="Arial" w:cs="Arial"/>
                <w:sz w:val="16"/>
                <w:szCs w:val="16"/>
              </w:rPr>
              <w:t>-.088</w:t>
            </w:r>
          </w:p>
        </w:tc>
      </w:tr>
      <w:tr w:rsidR="002D4564" w:rsidRPr="002D4564" w14:paraId="3D89E104" w14:textId="77777777" w:rsidTr="002D4564">
        <w:tc>
          <w:tcPr>
            <w:tcW w:w="2376" w:type="dxa"/>
          </w:tcPr>
          <w:p w14:paraId="09F8CAB8" w14:textId="77777777" w:rsidR="002D4564" w:rsidRPr="002D4564" w:rsidRDefault="002D4564" w:rsidP="00F05911">
            <w:pPr>
              <w:rPr>
                <w:rFonts w:ascii="Arial" w:hAnsi="Arial" w:cs="Arial"/>
                <w:sz w:val="16"/>
                <w:szCs w:val="16"/>
              </w:rPr>
            </w:pPr>
            <w:r w:rsidRPr="002D4564">
              <w:rPr>
                <w:rFonts w:ascii="Arial" w:hAnsi="Arial" w:cs="Arial"/>
                <w:sz w:val="16"/>
                <w:szCs w:val="16"/>
              </w:rPr>
              <w:t>Public Prosecutor</w:t>
            </w:r>
          </w:p>
        </w:tc>
        <w:tc>
          <w:tcPr>
            <w:tcW w:w="1985" w:type="dxa"/>
            <w:vAlign w:val="center"/>
          </w:tcPr>
          <w:p w14:paraId="2885B668" w14:textId="77777777" w:rsidR="002D4564" w:rsidRPr="002D4564" w:rsidRDefault="002D4564" w:rsidP="00F05911">
            <w:pPr>
              <w:jc w:val="center"/>
              <w:rPr>
                <w:rFonts w:ascii="Arial" w:hAnsi="Arial" w:cs="Arial"/>
                <w:sz w:val="16"/>
                <w:szCs w:val="16"/>
              </w:rPr>
            </w:pPr>
            <w:r w:rsidRPr="002D4564">
              <w:rPr>
                <w:rFonts w:ascii="Arial" w:hAnsi="Arial" w:cs="Arial"/>
                <w:sz w:val="16"/>
                <w:szCs w:val="16"/>
              </w:rPr>
              <w:t>.050</w:t>
            </w:r>
          </w:p>
        </w:tc>
        <w:tc>
          <w:tcPr>
            <w:tcW w:w="1559" w:type="dxa"/>
            <w:vAlign w:val="center"/>
          </w:tcPr>
          <w:p w14:paraId="2CB38B26" w14:textId="77777777" w:rsidR="002D4564" w:rsidRPr="002D4564" w:rsidRDefault="002D4564" w:rsidP="00F05911">
            <w:pPr>
              <w:jc w:val="center"/>
              <w:rPr>
                <w:rFonts w:ascii="Arial" w:hAnsi="Arial" w:cs="Arial"/>
                <w:sz w:val="16"/>
                <w:szCs w:val="16"/>
              </w:rPr>
            </w:pPr>
            <w:r w:rsidRPr="002D4564">
              <w:rPr>
                <w:rFonts w:ascii="Arial" w:hAnsi="Arial" w:cs="Arial"/>
                <w:sz w:val="16"/>
                <w:szCs w:val="16"/>
              </w:rPr>
              <w:t>.028</w:t>
            </w:r>
          </w:p>
        </w:tc>
        <w:tc>
          <w:tcPr>
            <w:tcW w:w="1559" w:type="dxa"/>
            <w:vAlign w:val="center"/>
          </w:tcPr>
          <w:p w14:paraId="7EEE02B3" w14:textId="77777777" w:rsidR="002D4564" w:rsidRPr="002D4564" w:rsidRDefault="002D4564" w:rsidP="00F05911">
            <w:pPr>
              <w:jc w:val="center"/>
              <w:rPr>
                <w:rFonts w:ascii="Arial" w:hAnsi="Arial" w:cs="Arial"/>
                <w:sz w:val="16"/>
                <w:szCs w:val="16"/>
              </w:rPr>
            </w:pPr>
            <w:r w:rsidRPr="002D4564">
              <w:rPr>
                <w:rFonts w:ascii="Arial" w:hAnsi="Arial" w:cs="Arial"/>
                <w:sz w:val="16"/>
                <w:szCs w:val="16"/>
              </w:rPr>
              <w:t>-.004</w:t>
            </w:r>
          </w:p>
        </w:tc>
        <w:tc>
          <w:tcPr>
            <w:tcW w:w="1701" w:type="dxa"/>
            <w:vAlign w:val="center"/>
          </w:tcPr>
          <w:p w14:paraId="0BEA7B53" w14:textId="77777777" w:rsidR="002D4564" w:rsidRPr="002D4564" w:rsidRDefault="002D4564" w:rsidP="00F05911">
            <w:pPr>
              <w:jc w:val="center"/>
              <w:rPr>
                <w:rFonts w:ascii="Arial" w:hAnsi="Arial" w:cs="Arial"/>
                <w:sz w:val="16"/>
                <w:szCs w:val="16"/>
              </w:rPr>
            </w:pPr>
            <w:r w:rsidRPr="002D4564">
              <w:rPr>
                <w:rFonts w:ascii="Arial" w:hAnsi="Arial" w:cs="Arial"/>
                <w:sz w:val="16"/>
                <w:szCs w:val="16"/>
              </w:rPr>
              <w:t>.105</w:t>
            </w:r>
          </w:p>
        </w:tc>
      </w:tr>
      <w:tr w:rsidR="002D4564" w:rsidRPr="002D4564" w14:paraId="35ECD7D4" w14:textId="77777777" w:rsidTr="002D4564">
        <w:tc>
          <w:tcPr>
            <w:tcW w:w="2376" w:type="dxa"/>
          </w:tcPr>
          <w:p w14:paraId="6D8A2354" w14:textId="77777777" w:rsidR="002D4564" w:rsidRPr="002D4564" w:rsidRDefault="002D4564" w:rsidP="00F05911">
            <w:pPr>
              <w:rPr>
                <w:rFonts w:ascii="Arial" w:hAnsi="Arial" w:cs="Arial"/>
                <w:sz w:val="16"/>
                <w:szCs w:val="16"/>
              </w:rPr>
            </w:pPr>
            <w:r w:rsidRPr="002D4564">
              <w:rPr>
                <w:rFonts w:ascii="Arial" w:hAnsi="Arial" w:cs="Arial"/>
                <w:sz w:val="16"/>
                <w:szCs w:val="16"/>
              </w:rPr>
              <w:t>Seniority</w:t>
            </w:r>
          </w:p>
        </w:tc>
        <w:tc>
          <w:tcPr>
            <w:tcW w:w="1985" w:type="dxa"/>
            <w:vAlign w:val="center"/>
          </w:tcPr>
          <w:p w14:paraId="677A354A" w14:textId="77777777" w:rsidR="002D4564" w:rsidRPr="002D4564" w:rsidRDefault="002D4564" w:rsidP="00F05911">
            <w:pPr>
              <w:jc w:val="center"/>
              <w:rPr>
                <w:rFonts w:ascii="Arial" w:hAnsi="Arial" w:cs="Arial"/>
                <w:sz w:val="16"/>
                <w:szCs w:val="16"/>
              </w:rPr>
            </w:pPr>
            <w:r w:rsidRPr="002D4564">
              <w:rPr>
                <w:rFonts w:ascii="Arial" w:hAnsi="Arial" w:cs="Arial"/>
                <w:sz w:val="16"/>
                <w:szCs w:val="16"/>
              </w:rPr>
              <w:t>-.082</w:t>
            </w:r>
          </w:p>
        </w:tc>
        <w:tc>
          <w:tcPr>
            <w:tcW w:w="1559" w:type="dxa"/>
            <w:vAlign w:val="center"/>
          </w:tcPr>
          <w:p w14:paraId="565B47C0" w14:textId="77777777" w:rsidR="002D4564" w:rsidRPr="002D4564" w:rsidRDefault="002D4564" w:rsidP="00F05911">
            <w:pPr>
              <w:jc w:val="center"/>
              <w:rPr>
                <w:rFonts w:ascii="Arial" w:hAnsi="Arial" w:cs="Arial"/>
                <w:sz w:val="16"/>
                <w:szCs w:val="16"/>
              </w:rPr>
            </w:pPr>
            <w:r w:rsidRPr="002D4564">
              <w:rPr>
                <w:rFonts w:ascii="Arial" w:hAnsi="Arial" w:cs="Arial"/>
                <w:sz w:val="16"/>
                <w:szCs w:val="16"/>
              </w:rPr>
              <w:t>.049</w:t>
            </w:r>
          </w:p>
        </w:tc>
        <w:tc>
          <w:tcPr>
            <w:tcW w:w="1559" w:type="dxa"/>
            <w:vAlign w:val="center"/>
          </w:tcPr>
          <w:p w14:paraId="06DC71DC" w14:textId="77777777" w:rsidR="002D4564" w:rsidRPr="002D4564" w:rsidRDefault="002D4564" w:rsidP="00F05911">
            <w:pPr>
              <w:jc w:val="center"/>
              <w:rPr>
                <w:rFonts w:ascii="Arial" w:hAnsi="Arial" w:cs="Arial"/>
                <w:sz w:val="16"/>
                <w:szCs w:val="16"/>
              </w:rPr>
            </w:pPr>
            <w:r w:rsidRPr="002D4564">
              <w:rPr>
                <w:rFonts w:ascii="Arial" w:hAnsi="Arial" w:cs="Arial"/>
                <w:sz w:val="16"/>
                <w:szCs w:val="16"/>
              </w:rPr>
              <w:t>-.178</w:t>
            </w:r>
          </w:p>
        </w:tc>
        <w:tc>
          <w:tcPr>
            <w:tcW w:w="1701" w:type="dxa"/>
            <w:vAlign w:val="center"/>
          </w:tcPr>
          <w:p w14:paraId="5208C7FB" w14:textId="77777777" w:rsidR="002D4564" w:rsidRPr="002D4564" w:rsidRDefault="002D4564" w:rsidP="00F05911">
            <w:pPr>
              <w:jc w:val="center"/>
              <w:rPr>
                <w:rFonts w:ascii="Arial" w:hAnsi="Arial" w:cs="Arial"/>
                <w:sz w:val="16"/>
                <w:szCs w:val="16"/>
              </w:rPr>
            </w:pPr>
            <w:r w:rsidRPr="002D4564">
              <w:rPr>
                <w:rFonts w:ascii="Arial" w:hAnsi="Arial" w:cs="Arial"/>
                <w:sz w:val="16"/>
                <w:szCs w:val="16"/>
              </w:rPr>
              <w:t>.015</w:t>
            </w:r>
          </w:p>
        </w:tc>
      </w:tr>
      <w:tr w:rsidR="002D4564" w:rsidRPr="002D4564" w14:paraId="4B4B47C7" w14:textId="77777777" w:rsidTr="002D4564">
        <w:tc>
          <w:tcPr>
            <w:tcW w:w="2376" w:type="dxa"/>
          </w:tcPr>
          <w:p w14:paraId="5A20AC37" w14:textId="77777777" w:rsidR="002D4564" w:rsidRPr="002D4564" w:rsidRDefault="002D4564" w:rsidP="00F05911">
            <w:pPr>
              <w:rPr>
                <w:rFonts w:ascii="Arial" w:hAnsi="Arial" w:cs="Arial"/>
                <w:sz w:val="16"/>
                <w:szCs w:val="16"/>
              </w:rPr>
            </w:pPr>
          </w:p>
        </w:tc>
        <w:tc>
          <w:tcPr>
            <w:tcW w:w="1985" w:type="dxa"/>
            <w:vAlign w:val="center"/>
          </w:tcPr>
          <w:p w14:paraId="327BAFC5" w14:textId="77777777" w:rsidR="002D4564" w:rsidRPr="002D4564" w:rsidRDefault="002D4564" w:rsidP="00F05911">
            <w:pPr>
              <w:jc w:val="center"/>
              <w:rPr>
                <w:rFonts w:ascii="Arial" w:hAnsi="Arial" w:cs="Arial"/>
                <w:sz w:val="16"/>
                <w:szCs w:val="16"/>
              </w:rPr>
            </w:pPr>
          </w:p>
        </w:tc>
        <w:tc>
          <w:tcPr>
            <w:tcW w:w="1559" w:type="dxa"/>
            <w:vAlign w:val="center"/>
          </w:tcPr>
          <w:p w14:paraId="4E12E0B9" w14:textId="77777777" w:rsidR="002D4564" w:rsidRPr="002D4564" w:rsidRDefault="002D4564" w:rsidP="00F05911">
            <w:pPr>
              <w:jc w:val="center"/>
              <w:rPr>
                <w:rFonts w:ascii="Arial" w:hAnsi="Arial" w:cs="Arial"/>
                <w:sz w:val="16"/>
                <w:szCs w:val="16"/>
              </w:rPr>
            </w:pPr>
          </w:p>
        </w:tc>
        <w:tc>
          <w:tcPr>
            <w:tcW w:w="1559" w:type="dxa"/>
            <w:vAlign w:val="center"/>
          </w:tcPr>
          <w:p w14:paraId="4543EFF9" w14:textId="77777777" w:rsidR="002D4564" w:rsidRPr="002D4564" w:rsidRDefault="002D4564" w:rsidP="00F05911">
            <w:pPr>
              <w:jc w:val="center"/>
              <w:rPr>
                <w:rFonts w:ascii="Arial" w:hAnsi="Arial" w:cs="Arial"/>
                <w:sz w:val="16"/>
                <w:szCs w:val="16"/>
              </w:rPr>
            </w:pPr>
          </w:p>
        </w:tc>
        <w:tc>
          <w:tcPr>
            <w:tcW w:w="1701" w:type="dxa"/>
            <w:vAlign w:val="center"/>
          </w:tcPr>
          <w:p w14:paraId="5A5A0A55" w14:textId="77777777" w:rsidR="002D4564" w:rsidRPr="002D4564" w:rsidRDefault="002D4564" w:rsidP="00F05911">
            <w:pPr>
              <w:jc w:val="center"/>
              <w:rPr>
                <w:rFonts w:ascii="Arial" w:hAnsi="Arial" w:cs="Arial"/>
                <w:sz w:val="16"/>
                <w:szCs w:val="16"/>
              </w:rPr>
            </w:pPr>
          </w:p>
        </w:tc>
      </w:tr>
      <w:tr w:rsidR="002D4564" w:rsidRPr="002D4564" w14:paraId="4D6A5B26" w14:textId="77777777" w:rsidTr="002D4564">
        <w:tc>
          <w:tcPr>
            <w:tcW w:w="2376" w:type="dxa"/>
          </w:tcPr>
          <w:p w14:paraId="220D8286" w14:textId="77777777" w:rsidR="002D4564" w:rsidRPr="002D4564" w:rsidRDefault="002D4564" w:rsidP="00F05911">
            <w:pPr>
              <w:rPr>
                <w:rFonts w:ascii="Arial" w:hAnsi="Arial" w:cs="Arial"/>
                <w:sz w:val="16"/>
                <w:szCs w:val="16"/>
              </w:rPr>
            </w:pPr>
            <w:r w:rsidRPr="002D4564">
              <w:rPr>
                <w:rFonts w:ascii="Arial" w:hAnsi="Arial" w:cs="Arial"/>
                <w:sz w:val="16"/>
                <w:szCs w:val="16"/>
              </w:rPr>
              <w:t>Social Democratic Majority</w:t>
            </w:r>
          </w:p>
        </w:tc>
        <w:tc>
          <w:tcPr>
            <w:tcW w:w="1985" w:type="dxa"/>
            <w:vAlign w:val="center"/>
          </w:tcPr>
          <w:p w14:paraId="7B55115D" w14:textId="77777777" w:rsidR="002D4564" w:rsidRPr="002D4564" w:rsidRDefault="002D4564" w:rsidP="00F05911">
            <w:pPr>
              <w:jc w:val="center"/>
              <w:rPr>
                <w:rFonts w:ascii="Arial" w:hAnsi="Arial" w:cs="Arial"/>
                <w:sz w:val="16"/>
                <w:szCs w:val="16"/>
              </w:rPr>
            </w:pPr>
            <w:r w:rsidRPr="002D4564">
              <w:rPr>
                <w:rFonts w:ascii="Arial" w:hAnsi="Arial" w:cs="Arial"/>
                <w:sz w:val="16"/>
                <w:szCs w:val="16"/>
              </w:rPr>
              <w:t>.157</w:t>
            </w:r>
          </w:p>
        </w:tc>
        <w:tc>
          <w:tcPr>
            <w:tcW w:w="1559" w:type="dxa"/>
            <w:vAlign w:val="center"/>
          </w:tcPr>
          <w:p w14:paraId="09880FF4" w14:textId="77777777" w:rsidR="002D4564" w:rsidRPr="002D4564" w:rsidRDefault="002D4564" w:rsidP="00F05911">
            <w:pPr>
              <w:jc w:val="center"/>
              <w:rPr>
                <w:rFonts w:ascii="Arial" w:hAnsi="Arial" w:cs="Arial"/>
                <w:sz w:val="16"/>
                <w:szCs w:val="16"/>
              </w:rPr>
            </w:pPr>
            <w:r w:rsidRPr="002D4564">
              <w:rPr>
                <w:rFonts w:ascii="Arial" w:hAnsi="Arial" w:cs="Arial"/>
                <w:sz w:val="16"/>
                <w:szCs w:val="16"/>
              </w:rPr>
              <w:t>.115</w:t>
            </w:r>
          </w:p>
        </w:tc>
        <w:tc>
          <w:tcPr>
            <w:tcW w:w="1559" w:type="dxa"/>
            <w:vAlign w:val="center"/>
          </w:tcPr>
          <w:p w14:paraId="43D8BE29" w14:textId="77777777" w:rsidR="002D4564" w:rsidRPr="002D4564" w:rsidRDefault="002D4564" w:rsidP="00F05911">
            <w:pPr>
              <w:jc w:val="center"/>
              <w:rPr>
                <w:rFonts w:ascii="Arial" w:hAnsi="Arial" w:cs="Arial"/>
                <w:sz w:val="16"/>
                <w:szCs w:val="16"/>
              </w:rPr>
            </w:pPr>
            <w:r w:rsidRPr="002D4564">
              <w:rPr>
                <w:rFonts w:ascii="Arial" w:hAnsi="Arial" w:cs="Arial"/>
                <w:sz w:val="16"/>
                <w:szCs w:val="16"/>
              </w:rPr>
              <w:t>-.067</w:t>
            </w:r>
          </w:p>
        </w:tc>
        <w:tc>
          <w:tcPr>
            <w:tcW w:w="1701" w:type="dxa"/>
            <w:vAlign w:val="center"/>
          </w:tcPr>
          <w:p w14:paraId="6D03FF69" w14:textId="77777777" w:rsidR="002D4564" w:rsidRPr="002D4564" w:rsidRDefault="002D4564" w:rsidP="00F05911">
            <w:pPr>
              <w:jc w:val="center"/>
              <w:rPr>
                <w:rFonts w:ascii="Arial" w:hAnsi="Arial" w:cs="Arial"/>
                <w:sz w:val="16"/>
                <w:szCs w:val="16"/>
              </w:rPr>
            </w:pPr>
            <w:r w:rsidRPr="002D4564">
              <w:rPr>
                <w:rFonts w:ascii="Arial" w:hAnsi="Arial" w:cs="Arial"/>
                <w:sz w:val="16"/>
                <w:szCs w:val="16"/>
              </w:rPr>
              <w:t>.382</w:t>
            </w:r>
          </w:p>
        </w:tc>
      </w:tr>
      <w:tr w:rsidR="002D4564" w:rsidRPr="002D4564" w14:paraId="79C7E231" w14:textId="77777777" w:rsidTr="002D4564">
        <w:tc>
          <w:tcPr>
            <w:tcW w:w="2376" w:type="dxa"/>
          </w:tcPr>
          <w:p w14:paraId="0437B253" w14:textId="77777777" w:rsidR="002D4564" w:rsidRPr="002D4564" w:rsidRDefault="002D4564" w:rsidP="00F05911">
            <w:pPr>
              <w:rPr>
                <w:rFonts w:ascii="Arial" w:hAnsi="Arial" w:cs="Arial"/>
                <w:sz w:val="16"/>
                <w:szCs w:val="16"/>
              </w:rPr>
            </w:pPr>
            <w:r w:rsidRPr="002D4564">
              <w:rPr>
                <w:rFonts w:ascii="Arial" w:hAnsi="Arial" w:cs="Arial"/>
                <w:sz w:val="16"/>
                <w:szCs w:val="16"/>
              </w:rPr>
              <w:t>Female Majority</w:t>
            </w:r>
          </w:p>
        </w:tc>
        <w:tc>
          <w:tcPr>
            <w:tcW w:w="1985" w:type="dxa"/>
            <w:vAlign w:val="center"/>
          </w:tcPr>
          <w:p w14:paraId="67C0D4BF" w14:textId="77777777" w:rsidR="002D4564" w:rsidRPr="002D4564" w:rsidRDefault="002D4564" w:rsidP="00F05911">
            <w:pPr>
              <w:jc w:val="center"/>
              <w:rPr>
                <w:rFonts w:ascii="Arial" w:hAnsi="Arial" w:cs="Arial"/>
                <w:sz w:val="16"/>
                <w:szCs w:val="16"/>
              </w:rPr>
            </w:pPr>
            <w:r w:rsidRPr="002D4564">
              <w:rPr>
                <w:rFonts w:ascii="Arial" w:hAnsi="Arial" w:cs="Arial"/>
                <w:sz w:val="16"/>
                <w:szCs w:val="16"/>
              </w:rPr>
              <w:t>-.426</w:t>
            </w:r>
          </w:p>
        </w:tc>
        <w:tc>
          <w:tcPr>
            <w:tcW w:w="1559" w:type="dxa"/>
            <w:vAlign w:val="center"/>
          </w:tcPr>
          <w:p w14:paraId="6BAE7EDF" w14:textId="77777777" w:rsidR="002D4564" w:rsidRPr="002D4564" w:rsidRDefault="002D4564" w:rsidP="00F05911">
            <w:pPr>
              <w:jc w:val="center"/>
              <w:rPr>
                <w:rFonts w:ascii="Arial" w:hAnsi="Arial" w:cs="Arial"/>
                <w:sz w:val="16"/>
                <w:szCs w:val="16"/>
              </w:rPr>
            </w:pPr>
            <w:r w:rsidRPr="002D4564">
              <w:rPr>
                <w:rFonts w:ascii="Arial" w:hAnsi="Arial" w:cs="Arial"/>
                <w:sz w:val="16"/>
                <w:szCs w:val="16"/>
              </w:rPr>
              <w:t>.235</w:t>
            </w:r>
          </w:p>
        </w:tc>
        <w:tc>
          <w:tcPr>
            <w:tcW w:w="1559" w:type="dxa"/>
            <w:vAlign w:val="center"/>
          </w:tcPr>
          <w:p w14:paraId="204628E6" w14:textId="77777777" w:rsidR="002D4564" w:rsidRPr="002D4564" w:rsidRDefault="002D4564" w:rsidP="00F05911">
            <w:pPr>
              <w:jc w:val="center"/>
              <w:rPr>
                <w:rFonts w:ascii="Arial" w:hAnsi="Arial" w:cs="Arial"/>
                <w:sz w:val="16"/>
                <w:szCs w:val="16"/>
              </w:rPr>
            </w:pPr>
            <w:r w:rsidRPr="002D4564">
              <w:rPr>
                <w:rFonts w:ascii="Arial" w:hAnsi="Arial" w:cs="Arial"/>
                <w:sz w:val="16"/>
                <w:szCs w:val="16"/>
              </w:rPr>
              <w:t>-.887</w:t>
            </w:r>
          </w:p>
        </w:tc>
        <w:tc>
          <w:tcPr>
            <w:tcW w:w="1701" w:type="dxa"/>
            <w:vAlign w:val="center"/>
          </w:tcPr>
          <w:p w14:paraId="3E9BCB02" w14:textId="77777777" w:rsidR="002D4564" w:rsidRPr="002D4564" w:rsidRDefault="002D4564" w:rsidP="00F05911">
            <w:pPr>
              <w:jc w:val="center"/>
              <w:rPr>
                <w:rFonts w:ascii="Arial" w:hAnsi="Arial" w:cs="Arial"/>
                <w:sz w:val="16"/>
                <w:szCs w:val="16"/>
              </w:rPr>
            </w:pPr>
            <w:r w:rsidRPr="002D4564">
              <w:rPr>
                <w:rFonts w:ascii="Arial" w:hAnsi="Arial" w:cs="Arial"/>
                <w:sz w:val="16"/>
                <w:szCs w:val="16"/>
              </w:rPr>
              <w:t>.035</w:t>
            </w:r>
          </w:p>
        </w:tc>
      </w:tr>
      <w:tr w:rsidR="002D4564" w:rsidRPr="002D4564" w14:paraId="2F2E53D3" w14:textId="77777777" w:rsidTr="002D4564">
        <w:tc>
          <w:tcPr>
            <w:tcW w:w="2376" w:type="dxa"/>
          </w:tcPr>
          <w:p w14:paraId="043D632C" w14:textId="77777777" w:rsidR="002D4564" w:rsidRPr="002D4564" w:rsidRDefault="002D4564" w:rsidP="00F05911">
            <w:pPr>
              <w:rPr>
                <w:rFonts w:ascii="Arial" w:hAnsi="Arial" w:cs="Arial"/>
                <w:sz w:val="16"/>
                <w:szCs w:val="16"/>
              </w:rPr>
            </w:pPr>
          </w:p>
        </w:tc>
        <w:tc>
          <w:tcPr>
            <w:tcW w:w="1985" w:type="dxa"/>
            <w:vAlign w:val="center"/>
          </w:tcPr>
          <w:p w14:paraId="42123BB7" w14:textId="77777777" w:rsidR="002D4564" w:rsidRPr="002D4564" w:rsidRDefault="002D4564" w:rsidP="00F05911">
            <w:pPr>
              <w:jc w:val="center"/>
              <w:rPr>
                <w:rFonts w:ascii="Arial" w:hAnsi="Arial" w:cs="Arial"/>
                <w:sz w:val="16"/>
                <w:szCs w:val="16"/>
              </w:rPr>
            </w:pPr>
          </w:p>
        </w:tc>
        <w:tc>
          <w:tcPr>
            <w:tcW w:w="1559" w:type="dxa"/>
            <w:vAlign w:val="center"/>
          </w:tcPr>
          <w:p w14:paraId="5089C62D" w14:textId="77777777" w:rsidR="002D4564" w:rsidRPr="002D4564" w:rsidRDefault="002D4564" w:rsidP="00F05911">
            <w:pPr>
              <w:jc w:val="center"/>
              <w:rPr>
                <w:rFonts w:ascii="Arial" w:hAnsi="Arial" w:cs="Arial"/>
                <w:sz w:val="16"/>
                <w:szCs w:val="16"/>
              </w:rPr>
            </w:pPr>
          </w:p>
        </w:tc>
        <w:tc>
          <w:tcPr>
            <w:tcW w:w="1559" w:type="dxa"/>
            <w:vAlign w:val="center"/>
          </w:tcPr>
          <w:p w14:paraId="50849F5D" w14:textId="77777777" w:rsidR="002D4564" w:rsidRPr="002D4564" w:rsidRDefault="002D4564" w:rsidP="00F05911">
            <w:pPr>
              <w:jc w:val="center"/>
              <w:rPr>
                <w:rFonts w:ascii="Arial" w:hAnsi="Arial" w:cs="Arial"/>
                <w:sz w:val="16"/>
                <w:szCs w:val="16"/>
              </w:rPr>
            </w:pPr>
          </w:p>
        </w:tc>
        <w:tc>
          <w:tcPr>
            <w:tcW w:w="1701" w:type="dxa"/>
            <w:vAlign w:val="center"/>
          </w:tcPr>
          <w:p w14:paraId="0AE285A9" w14:textId="77777777" w:rsidR="002D4564" w:rsidRPr="002D4564" w:rsidRDefault="002D4564" w:rsidP="00F05911">
            <w:pPr>
              <w:jc w:val="center"/>
              <w:rPr>
                <w:rFonts w:ascii="Arial" w:hAnsi="Arial" w:cs="Arial"/>
                <w:sz w:val="16"/>
                <w:szCs w:val="16"/>
              </w:rPr>
            </w:pPr>
          </w:p>
        </w:tc>
      </w:tr>
      <w:tr w:rsidR="002D4564" w:rsidRPr="002D4564" w14:paraId="533944AE" w14:textId="77777777" w:rsidTr="002D4564">
        <w:tc>
          <w:tcPr>
            <w:tcW w:w="2376" w:type="dxa"/>
          </w:tcPr>
          <w:p w14:paraId="1F529EAB" w14:textId="763772F4" w:rsidR="002D4564" w:rsidRPr="002D4564" w:rsidRDefault="002D4564" w:rsidP="00F05911">
            <w:pPr>
              <w:rPr>
                <w:rFonts w:ascii="Arial" w:hAnsi="Arial" w:cs="Arial"/>
                <w:sz w:val="16"/>
                <w:szCs w:val="16"/>
              </w:rPr>
            </w:pPr>
            <w:r w:rsidRPr="002D4564">
              <w:rPr>
                <w:rFonts w:ascii="Arial" w:hAnsi="Arial" w:cs="Arial"/>
                <w:sz w:val="16"/>
                <w:szCs w:val="16"/>
              </w:rPr>
              <w:t>Public Party</w:t>
            </w:r>
            <w:r w:rsidR="0049655C">
              <w:rPr>
                <w:rFonts w:ascii="Arial" w:hAnsi="Arial" w:cs="Arial"/>
                <w:sz w:val="16"/>
                <w:szCs w:val="16"/>
              </w:rPr>
              <w:t xml:space="preserve"> plainti</w:t>
            </w:r>
            <w:r w:rsidR="00E15613">
              <w:rPr>
                <w:rFonts w:ascii="Arial" w:hAnsi="Arial" w:cs="Arial"/>
                <w:sz w:val="16"/>
                <w:szCs w:val="16"/>
              </w:rPr>
              <w:t>ff</w:t>
            </w:r>
          </w:p>
        </w:tc>
        <w:tc>
          <w:tcPr>
            <w:tcW w:w="1985" w:type="dxa"/>
            <w:vAlign w:val="center"/>
          </w:tcPr>
          <w:p w14:paraId="3F9DD7DE" w14:textId="77777777" w:rsidR="002D4564" w:rsidRPr="002D4564" w:rsidRDefault="002D4564" w:rsidP="00F05911">
            <w:pPr>
              <w:jc w:val="center"/>
              <w:rPr>
                <w:rFonts w:ascii="Arial" w:hAnsi="Arial" w:cs="Arial"/>
                <w:sz w:val="16"/>
                <w:szCs w:val="16"/>
              </w:rPr>
            </w:pPr>
            <w:r w:rsidRPr="002D4564">
              <w:rPr>
                <w:rFonts w:ascii="Arial" w:hAnsi="Arial" w:cs="Arial"/>
                <w:sz w:val="16"/>
                <w:szCs w:val="16"/>
              </w:rPr>
              <w:t>-.699</w:t>
            </w:r>
          </w:p>
        </w:tc>
        <w:tc>
          <w:tcPr>
            <w:tcW w:w="1559" w:type="dxa"/>
            <w:vAlign w:val="center"/>
          </w:tcPr>
          <w:p w14:paraId="256F4002" w14:textId="77777777" w:rsidR="002D4564" w:rsidRPr="002D4564" w:rsidRDefault="002D4564" w:rsidP="00F05911">
            <w:pPr>
              <w:jc w:val="center"/>
              <w:rPr>
                <w:rFonts w:ascii="Arial" w:hAnsi="Arial" w:cs="Arial"/>
                <w:sz w:val="16"/>
                <w:szCs w:val="16"/>
              </w:rPr>
            </w:pPr>
            <w:r w:rsidRPr="002D4564">
              <w:rPr>
                <w:rFonts w:ascii="Arial" w:hAnsi="Arial" w:cs="Arial"/>
                <w:sz w:val="16"/>
                <w:szCs w:val="16"/>
              </w:rPr>
              <w:t>.077</w:t>
            </w:r>
          </w:p>
        </w:tc>
        <w:tc>
          <w:tcPr>
            <w:tcW w:w="1559" w:type="dxa"/>
            <w:vAlign w:val="center"/>
          </w:tcPr>
          <w:p w14:paraId="37F756D5" w14:textId="77777777" w:rsidR="002D4564" w:rsidRPr="002D4564" w:rsidRDefault="002D4564" w:rsidP="00F05911">
            <w:pPr>
              <w:jc w:val="center"/>
              <w:rPr>
                <w:rFonts w:ascii="Arial" w:hAnsi="Arial" w:cs="Arial"/>
                <w:sz w:val="16"/>
                <w:szCs w:val="16"/>
              </w:rPr>
            </w:pPr>
            <w:r w:rsidRPr="002D4564">
              <w:rPr>
                <w:rFonts w:ascii="Arial" w:hAnsi="Arial" w:cs="Arial"/>
                <w:sz w:val="16"/>
                <w:szCs w:val="16"/>
              </w:rPr>
              <w:t>-.851</w:t>
            </w:r>
          </w:p>
        </w:tc>
        <w:tc>
          <w:tcPr>
            <w:tcW w:w="1701" w:type="dxa"/>
            <w:vAlign w:val="center"/>
          </w:tcPr>
          <w:p w14:paraId="26CAF582" w14:textId="77777777" w:rsidR="002D4564" w:rsidRPr="002D4564" w:rsidRDefault="002D4564" w:rsidP="00F05911">
            <w:pPr>
              <w:jc w:val="center"/>
              <w:rPr>
                <w:rFonts w:ascii="Arial" w:hAnsi="Arial" w:cs="Arial"/>
                <w:sz w:val="16"/>
                <w:szCs w:val="16"/>
              </w:rPr>
            </w:pPr>
            <w:r w:rsidRPr="002D4564">
              <w:rPr>
                <w:rFonts w:ascii="Arial" w:hAnsi="Arial" w:cs="Arial"/>
                <w:sz w:val="16"/>
                <w:szCs w:val="16"/>
              </w:rPr>
              <w:t>-.548</w:t>
            </w:r>
          </w:p>
        </w:tc>
      </w:tr>
      <w:tr w:rsidR="002D4564" w:rsidRPr="002D4564" w14:paraId="1A612A72" w14:textId="77777777" w:rsidTr="002D4564">
        <w:tc>
          <w:tcPr>
            <w:tcW w:w="2376" w:type="dxa"/>
          </w:tcPr>
          <w:p w14:paraId="570CB9DA" w14:textId="77777777" w:rsidR="002D4564" w:rsidRPr="002D4564" w:rsidRDefault="002D4564" w:rsidP="00F05911">
            <w:pPr>
              <w:rPr>
                <w:rFonts w:ascii="Arial" w:hAnsi="Arial" w:cs="Arial"/>
                <w:sz w:val="16"/>
                <w:szCs w:val="16"/>
              </w:rPr>
            </w:pPr>
            <w:r w:rsidRPr="002D4564">
              <w:rPr>
                <w:rFonts w:ascii="Arial" w:hAnsi="Arial" w:cs="Arial"/>
                <w:sz w:val="16"/>
                <w:szCs w:val="16"/>
              </w:rPr>
              <w:t>Nonunanimous Decision</w:t>
            </w:r>
          </w:p>
        </w:tc>
        <w:tc>
          <w:tcPr>
            <w:tcW w:w="1985" w:type="dxa"/>
            <w:vAlign w:val="center"/>
          </w:tcPr>
          <w:p w14:paraId="1E42B697" w14:textId="77777777" w:rsidR="002D4564" w:rsidRPr="002D4564" w:rsidRDefault="002D4564" w:rsidP="00F05911">
            <w:pPr>
              <w:jc w:val="center"/>
              <w:rPr>
                <w:rFonts w:ascii="Arial" w:hAnsi="Arial" w:cs="Arial"/>
                <w:sz w:val="16"/>
                <w:szCs w:val="16"/>
              </w:rPr>
            </w:pPr>
            <w:r w:rsidRPr="002D4564">
              <w:rPr>
                <w:rFonts w:ascii="Arial" w:hAnsi="Arial" w:cs="Arial"/>
                <w:sz w:val="16"/>
                <w:szCs w:val="16"/>
              </w:rPr>
              <w:t>-.430</w:t>
            </w:r>
          </w:p>
        </w:tc>
        <w:tc>
          <w:tcPr>
            <w:tcW w:w="1559" w:type="dxa"/>
            <w:vAlign w:val="center"/>
          </w:tcPr>
          <w:p w14:paraId="006382E5" w14:textId="77777777" w:rsidR="002D4564" w:rsidRPr="002D4564" w:rsidRDefault="002D4564" w:rsidP="00F05911">
            <w:pPr>
              <w:jc w:val="center"/>
              <w:rPr>
                <w:rFonts w:ascii="Arial" w:hAnsi="Arial" w:cs="Arial"/>
                <w:sz w:val="16"/>
                <w:szCs w:val="16"/>
              </w:rPr>
            </w:pPr>
            <w:r w:rsidRPr="002D4564">
              <w:rPr>
                <w:rFonts w:ascii="Arial" w:hAnsi="Arial" w:cs="Arial"/>
                <w:sz w:val="16"/>
                <w:szCs w:val="16"/>
              </w:rPr>
              <w:t>.103</w:t>
            </w:r>
          </w:p>
        </w:tc>
        <w:tc>
          <w:tcPr>
            <w:tcW w:w="1559" w:type="dxa"/>
            <w:vAlign w:val="center"/>
          </w:tcPr>
          <w:p w14:paraId="04A13BF9" w14:textId="77777777" w:rsidR="002D4564" w:rsidRPr="002D4564" w:rsidRDefault="002D4564" w:rsidP="00F05911">
            <w:pPr>
              <w:jc w:val="center"/>
              <w:rPr>
                <w:rFonts w:ascii="Arial" w:hAnsi="Arial" w:cs="Arial"/>
                <w:sz w:val="16"/>
                <w:szCs w:val="16"/>
              </w:rPr>
            </w:pPr>
            <w:r w:rsidRPr="002D4564">
              <w:rPr>
                <w:rFonts w:ascii="Arial" w:hAnsi="Arial" w:cs="Arial"/>
                <w:sz w:val="16"/>
                <w:szCs w:val="16"/>
              </w:rPr>
              <w:t>-.632</w:t>
            </w:r>
          </w:p>
        </w:tc>
        <w:tc>
          <w:tcPr>
            <w:tcW w:w="1701" w:type="dxa"/>
            <w:vAlign w:val="center"/>
          </w:tcPr>
          <w:p w14:paraId="38867C73" w14:textId="77777777" w:rsidR="002D4564" w:rsidRPr="002D4564" w:rsidRDefault="002D4564" w:rsidP="00F05911">
            <w:pPr>
              <w:jc w:val="center"/>
              <w:rPr>
                <w:rFonts w:ascii="Arial" w:hAnsi="Arial" w:cs="Arial"/>
                <w:sz w:val="16"/>
                <w:szCs w:val="16"/>
              </w:rPr>
            </w:pPr>
            <w:r w:rsidRPr="002D4564">
              <w:rPr>
                <w:rFonts w:ascii="Arial" w:hAnsi="Arial" w:cs="Arial"/>
                <w:sz w:val="16"/>
                <w:szCs w:val="16"/>
              </w:rPr>
              <w:t>-.228</w:t>
            </w:r>
          </w:p>
        </w:tc>
      </w:tr>
      <w:tr w:rsidR="002D4564" w:rsidRPr="002D4564" w14:paraId="1DDF1C25" w14:textId="77777777" w:rsidTr="002D4564">
        <w:tc>
          <w:tcPr>
            <w:tcW w:w="2376" w:type="dxa"/>
            <w:tcBorders>
              <w:bottom w:val="single" w:sz="4" w:space="0" w:color="auto"/>
            </w:tcBorders>
          </w:tcPr>
          <w:p w14:paraId="1CA622DF" w14:textId="77777777" w:rsidR="002D4564" w:rsidRPr="002D4564" w:rsidRDefault="002D4564" w:rsidP="00F05911">
            <w:pPr>
              <w:rPr>
                <w:rFonts w:ascii="Arial" w:hAnsi="Arial" w:cs="Arial"/>
                <w:b/>
                <w:sz w:val="16"/>
                <w:szCs w:val="16"/>
              </w:rPr>
            </w:pPr>
          </w:p>
        </w:tc>
        <w:tc>
          <w:tcPr>
            <w:tcW w:w="1985" w:type="dxa"/>
            <w:tcBorders>
              <w:bottom w:val="single" w:sz="4" w:space="0" w:color="auto"/>
            </w:tcBorders>
            <w:vAlign w:val="center"/>
          </w:tcPr>
          <w:p w14:paraId="2C94751E" w14:textId="77777777" w:rsidR="002D4564" w:rsidRPr="002D4564" w:rsidRDefault="002D4564" w:rsidP="00F05911">
            <w:pPr>
              <w:jc w:val="center"/>
              <w:rPr>
                <w:rFonts w:ascii="Arial" w:hAnsi="Arial" w:cs="Arial"/>
                <w:sz w:val="16"/>
                <w:szCs w:val="16"/>
              </w:rPr>
            </w:pPr>
          </w:p>
        </w:tc>
        <w:tc>
          <w:tcPr>
            <w:tcW w:w="1559" w:type="dxa"/>
            <w:tcBorders>
              <w:bottom w:val="single" w:sz="4" w:space="0" w:color="auto"/>
            </w:tcBorders>
            <w:vAlign w:val="center"/>
          </w:tcPr>
          <w:p w14:paraId="565DCAE7" w14:textId="77777777" w:rsidR="002D4564" w:rsidRPr="002D4564" w:rsidRDefault="002D4564" w:rsidP="00F05911">
            <w:pPr>
              <w:jc w:val="center"/>
              <w:rPr>
                <w:rFonts w:ascii="Arial" w:hAnsi="Arial" w:cs="Arial"/>
                <w:sz w:val="16"/>
                <w:szCs w:val="16"/>
              </w:rPr>
            </w:pPr>
          </w:p>
        </w:tc>
        <w:tc>
          <w:tcPr>
            <w:tcW w:w="1559" w:type="dxa"/>
            <w:tcBorders>
              <w:bottom w:val="single" w:sz="4" w:space="0" w:color="auto"/>
            </w:tcBorders>
            <w:vAlign w:val="center"/>
          </w:tcPr>
          <w:p w14:paraId="673DD2F0" w14:textId="77777777" w:rsidR="002D4564" w:rsidRPr="002D4564" w:rsidRDefault="002D4564" w:rsidP="00F05911">
            <w:pPr>
              <w:jc w:val="center"/>
              <w:rPr>
                <w:rFonts w:ascii="Arial" w:hAnsi="Arial" w:cs="Arial"/>
                <w:sz w:val="16"/>
                <w:szCs w:val="16"/>
              </w:rPr>
            </w:pPr>
          </w:p>
        </w:tc>
        <w:tc>
          <w:tcPr>
            <w:tcW w:w="1701" w:type="dxa"/>
            <w:tcBorders>
              <w:bottom w:val="single" w:sz="4" w:space="0" w:color="auto"/>
            </w:tcBorders>
            <w:vAlign w:val="center"/>
          </w:tcPr>
          <w:p w14:paraId="49D224EB" w14:textId="77777777" w:rsidR="002D4564" w:rsidRPr="002D4564" w:rsidRDefault="002D4564" w:rsidP="00F05911">
            <w:pPr>
              <w:jc w:val="center"/>
              <w:rPr>
                <w:rFonts w:ascii="Arial" w:hAnsi="Arial" w:cs="Arial"/>
                <w:sz w:val="16"/>
                <w:szCs w:val="16"/>
              </w:rPr>
            </w:pPr>
          </w:p>
        </w:tc>
      </w:tr>
    </w:tbl>
    <w:p w14:paraId="134789F1" w14:textId="77777777" w:rsidR="002D4564" w:rsidRPr="002D4564" w:rsidRDefault="002D4564" w:rsidP="002D4564">
      <w:pPr>
        <w:rPr>
          <w:rFonts w:ascii="Arial" w:hAnsi="Arial" w:cs="Arial"/>
          <w:sz w:val="16"/>
          <w:szCs w:val="16"/>
        </w:rPr>
      </w:pPr>
    </w:p>
    <w:p w14:paraId="3A839581" w14:textId="77777777" w:rsidR="002D4564" w:rsidRPr="002D4564" w:rsidRDefault="002D4564" w:rsidP="002D4564">
      <w:pPr>
        <w:rPr>
          <w:rFonts w:ascii="Arial" w:hAnsi="Arial" w:cs="Arial"/>
          <w:sz w:val="16"/>
          <w:szCs w:val="16"/>
          <w:lang w:val="en-US"/>
        </w:rPr>
      </w:pPr>
      <w:r w:rsidRPr="002D4564">
        <w:rPr>
          <w:rFonts w:ascii="Arial" w:hAnsi="Arial" w:cs="Arial"/>
          <w:sz w:val="16"/>
          <w:szCs w:val="16"/>
          <w:lang w:val="en-US"/>
        </w:rPr>
        <w:t>Notes: Other than “Seniority,” all the variables are binary (0, 1). The effect for each factor variable is calculated as the discrete change from the base level, while holding the other variables constant at their means. The effect of “Seniority” is measured as it moves from its minimum (0) to maximum value (29), while holding the other variables at their means.</w:t>
      </w:r>
    </w:p>
    <w:p w14:paraId="650B3D1E" w14:textId="77777777" w:rsidR="002D4564" w:rsidRPr="002D4564" w:rsidRDefault="002D4564" w:rsidP="00C71F1F">
      <w:pPr>
        <w:rPr>
          <w:rFonts w:ascii="Arial" w:hAnsi="Arial" w:cs="Arial"/>
          <w:sz w:val="16"/>
          <w:szCs w:val="16"/>
          <w:lang w:val="en-US"/>
        </w:rPr>
      </w:pPr>
    </w:p>
    <w:p w14:paraId="7B349E22" w14:textId="77777777" w:rsidR="002D4564" w:rsidRPr="002D4564" w:rsidRDefault="002D4564" w:rsidP="00C71F1F">
      <w:pPr>
        <w:rPr>
          <w:rFonts w:ascii="Arial" w:hAnsi="Arial" w:cs="Arial"/>
          <w:sz w:val="16"/>
          <w:szCs w:val="16"/>
          <w:lang w:val="en-US"/>
        </w:rPr>
      </w:pPr>
    </w:p>
    <w:p w14:paraId="2CA37052" w14:textId="77777777" w:rsidR="006B489D" w:rsidRPr="0071496F" w:rsidRDefault="006B489D" w:rsidP="00C71F1F">
      <w:pPr>
        <w:rPr>
          <w:lang w:val="en-US"/>
        </w:rPr>
      </w:pPr>
      <w:r>
        <w:rPr>
          <w:lang w:val="en-US"/>
        </w:rPr>
        <w:t>**.</w:t>
      </w:r>
    </w:p>
    <w:sectPr w:rsidR="006B489D" w:rsidRPr="0071496F" w:rsidSect="00B87FD4">
      <w:footerReference w:type="default" r:id="rId9"/>
      <w:pgSz w:w="11906" w:h="16838"/>
      <w:pgMar w:top="1417" w:right="1417" w:bottom="1417" w:left="1417" w:header="708" w:footer="708" w:gutter="0"/>
      <w:pgNumType w:fmt="lowerRoman"/>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BAC50" w14:textId="77777777" w:rsidR="00C1634E" w:rsidRDefault="00C1634E">
      <w:r>
        <w:separator/>
      </w:r>
    </w:p>
  </w:endnote>
  <w:endnote w:type="continuationSeparator" w:id="0">
    <w:p w14:paraId="7431E38C" w14:textId="77777777" w:rsidR="00C1634E" w:rsidRDefault="00C1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998489"/>
      <w:docPartObj>
        <w:docPartGallery w:val="Page Numbers (Bottom of Page)"/>
        <w:docPartUnique/>
      </w:docPartObj>
    </w:sdtPr>
    <w:sdtEndPr>
      <w:rPr>
        <w:noProof/>
      </w:rPr>
    </w:sdtEndPr>
    <w:sdtContent>
      <w:p w14:paraId="4952D663" w14:textId="77777777" w:rsidR="008329B8" w:rsidRDefault="008329B8" w:rsidP="00151EEB">
        <w:pPr>
          <w:pStyle w:val="Bunntekst"/>
        </w:pPr>
      </w:p>
      <w:p w14:paraId="7624F385" w14:textId="77777777" w:rsidR="008329B8" w:rsidRDefault="008329B8">
        <w:pPr>
          <w:pStyle w:val="Bunntekst"/>
          <w:jc w:val="right"/>
        </w:pPr>
        <w:r>
          <w:fldChar w:fldCharType="begin"/>
        </w:r>
        <w:r>
          <w:instrText xml:space="preserve"> PAGE   \* MERGEFORMAT </w:instrText>
        </w:r>
        <w:r>
          <w:fldChar w:fldCharType="separate"/>
        </w:r>
        <w:r w:rsidR="00030193">
          <w:rPr>
            <w:noProof/>
          </w:rPr>
          <w:t>ii</w:t>
        </w:r>
        <w:r>
          <w:rPr>
            <w:noProof/>
          </w:rPr>
          <w:fldChar w:fldCharType="end"/>
        </w:r>
      </w:p>
    </w:sdtContent>
  </w:sdt>
  <w:p w14:paraId="029F2B08" w14:textId="77777777" w:rsidR="008329B8" w:rsidRDefault="008329B8">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54B2C" w14:textId="77777777" w:rsidR="00C1634E" w:rsidRDefault="00C1634E">
      <w:r>
        <w:separator/>
      </w:r>
    </w:p>
  </w:footnote>
  <w:footnote w:type="continuationSeparator" w:id="0">
    <w:p w14:paraId="08AE35F7" w14:textId="77777777" w:rsidR="00C1634E" w:rsidRDefault="00C1634E">
      <w:r>
        <w:continuationSeparator/>
      </w:r>
    </w:p>
  </w:footnote>
  <w:footnote w:id="1">
    <w:p w14:paraId="3E42D3B4" w14:textId="77777777" w:rsidR="008329B8" w:rsidRPr="007F26AF" w:rsidRDefault="008329B8" w:rsidP="007F26AF">
      <w:pPr>
        <w:pStyle w:val="Fotnotetekst"/>
        <w:rPr>
          <w:lang w:val="en-US"/>
        </w:rPr>
      </w:pPr>
      <w:r>
        <w:rPr>
          <w:rStyle w:val="Fotnotereferanse"/>
        </w:rPr>
        <w:footnoteRef/>
      </w:r>
      <w:r w:rsidRPr="007F26AF">
        <w:rPr>
          <w:lang w:val="en-US"/>
        </w:rPr>
        <w:t xml:space="preserve"> Likelihood-ratio test (Assumption: model 1 nested in model 2) LR chi2 (13) = 45.3 Prob &gt; chi2 = 0.000</w:t>
      </w:r>
    </w:p>
  </w:footnote>
  <w:footnote w:id="2">
    <w:p w14:paraId="24C0841F" w14:textId="33444124" w:rsidR="008329B8" w:rsidRPr="007F26AF" w:rsidRDefault="008329B8" w:rsidP="007F26AF">
      <w:pPr>
        <w:pStyle w:val="Fotnotetekst"/>
        <w:rPr>
          <w:lang w:val="en-US"/>
        </w:rPr>
      </w:pPr>
      <w:r>
        <w:rPr>
          <w:rStyle w:val="Fotnotereferanse"/>
        </w:rPr>
        <w:footnoteRef/>
      </w:r>
      <w:r w:rsidRPr="007F26AF">
        <w:rPr>
          <w:lang w:val="en-US"/>
        </w:rPr>
        <w:t xml:space="preserve"> In a </w:t>
      </w:r>
      <w:r w:rsidR="00BE0832">
        <w:rPr>
          <w:lang w:val="en-US"/>
        </w:rPr>
        <w:t xml:space="preserve">very </w:t>
      </w:r>
      <w:r w:rsidRPr="007F26AF">
        <w:rPr>
          <w:lang w:val="en-US"/>
        </w:rPr>
        <w:t xml:space="preserve">preliminary model, we also </w:t>
      </w:r>
      <w:r>
        <w:rPr>
          <w:lang w:val="en-US"/>
        </w:rPr>
        <w:t xml:space="preserve">controlled for </w:t>
      </w:r>
      <w:r w:rsidRPr="007F26AF">
        <w:rPr>
          <w:lang w:val="en-US"/>
        </w:rPr>
        <w:t xml:space="preserve">whether the justice was appointed before </w:t>
      </w:r>
      <w:r w:rsidR="00BE0832">
        <w:rPr>
          <w:lang w:val="en-US"/>
        </w:rPr>
        <w:t xml:space="preserve">(=0) </w:t>
      </w:r>
      <w:r w:rsidRPr="007F26AF">
        <w:rPr>
          <w:lang w:val="en-US"/>
        </w:rPr>
        <w:t xml:space="preserve">or after </w:t>
      </w:r>
      <w:r w:rsidR="00BE0832">
        <w:rPr>
          <w:lang w:val="en-US"/>
        </w:rPr>
        <w:t xml:space="preserve">(=1) </w:t>
      </w:r>
      <w:r w:rsidRPr="007F26AF">
        <w:rPr>
          <w:lang w:val="en-US"/>
        </w:rPr>
        <w:t xml:space="preserve">the introduction of the independent </w:t>
      </w:r>
      <w:r w:rsidRPr="007F26AF">
        <w:rPr>
          <w:i/>
          <w:lang w:val="en-US"/>
        </w:rPr>
        <w:t>Advisory Council</w:t>
      </w:r>
      <w:r w:rsidRPr="007F26AF">
        <w:rPr>
          <w:lang w:val="en-US"/>
        </w:rPr>
        <w:t>, a 2002 effort to remove the appointment of justices from the increasing politicized Ministry of Justice. This control variable failed to indicate any effect on the justices’ votes.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5C4113A"/>
    <w:lvl w:ilvl="0">
      <w:start w:val="1"/>
      <w:numFmt w:val="decimal"/>
      <w:pStyle w:val="Overskrift1"/>
      <w:lvlText w:val="%1."/>
      <w:legacy w:legacy="1" w:legacySpace="144"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none"/>
      <w:suff w:val="nothing"/>
      <w:lvlText w:val=""/>
      <w:lvlJc w:val="left"/>
    </w:lvl>
    <w:lvl w:ilvl="4">
      <w:start w:val="1"/>
      <w:numFmt w:val="none"/>
      <w:suff w:val="nothing"/>
      <w:lvlText w:val=""/>
      <w:lvlJc w:val="left"/>
    </w:lvl>
    <w:lvl w:ilvl="5">
      <w:numFmt w:val="none"/>
      <w:lvlText w:val=""/>
      <w:lvlJc w:val="left"/>
    </w:lvl>
    <w:lvl w:ilvl="6">
      <w:start w:val="1"/>
      <w:numFmt w:val="none"/>
      <w:suff w:val="nothing"/>
      <w:lvlText w:val=""/>
      <w:lvlJc w:val="left"/>
    </w:lvl>
    <w:lvl w:ilvl="7">
      <w:numFmt w:val="none"/>
      <w:lvlText w:val=""/>
      <w:lvlJc w:val="left"/>
    </w:lvl>
    <w:lvl w:ilvl="8">
      <w:numFmt w:val="none"/>
      <w:lvlText w:val=""/>
      <w:lvlJc w:val="left"/>
    </w:lvl>
  </w:abstractNum>
  <w:abstractNum w:abstractNumId="1">
    <w:nsid w:val="057E5C9B"/>
    <w:multiLevelType w:val="hybridMultilevel"/>
    <w:tmpl w:val="C64E251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05D6199F"/>
    <w:multiLevelType w:val="hybridMultilevel"/>
    <w:tmpl w:val="3020BB74"/>
    <w:lvl w:ilvl="0" w:tplc="188616A6">
      <w:start w:val="1"/>
      <w:numFmt w:val="bullet"/>
      <w:lvlText w:val=""/>
      <w:lvlJc w:val="left"/>
      <w:pPr>
        <w:tabs>
          <w:tab w:val="num" w:pos="0"/>
        </w:tabs>
        <w:ind w:left="227" w:hanging="227"/>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0911076D"/>
    <w:multiLevelType w:val="hybridMultilevel"/>
    <w:tmpl w:val="205A92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952489B"/>
    <w:multiLevelType w:val="hybridMultilevel"/>
    <w:tmpl w:val="55DAF2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ADE0DF3"/>
    <w:multiLevelType w:val="hybridMultilevel"/>
    <w:tmpl w:val="A5D66F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0C6647F7"/>
    <w:multiLevelType w:val="hybridMultilevel"/>
    <w:tmpl w:val="2FD43A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3D03EBA"/>
    <w:multiLevelType w:val="hybridMultilevel"/>
    <w:tmpl w:val="35EA98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B4F605F"/>
    <w:multiLevelType w:val="hybridMultilevel"/>
    <w:tmpl w:val="F27640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E9A3CD7"/>
    <w:multiLevelType w:val="hybridMultilevel"/>
    <w:tmpl w:val="6494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50579C"/>
    <w:multiLevelType w:val="hybridMultilevel"/>
    <w:tmpl w:val="7A1612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2A97239"/>
    <w:multiLevelType w:val="hybridMultilevel"/>
    <w:tmpl w:val="A9804568"/>
    <w:lvl w:ilvl="0" w:tplc="188616A6">
      <w:start w:val="1"/>
      <w:numFmt w:val="bullet"/>
      <w:lvlText w:val=""/>
      <w:lvlJc w:val="left"/>
      <w:pPr>
        <w:tabs>
          <w:tab w:val="num" w:pos="0"/>
        </w:tabs>
        <w:ind w:left="227" w:hanging="227"/>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299F684B"/>
    <w:multiLevelType w:val="hybridMultilevel"/>
    <w:tmpl w:val="5A0CF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F778C5"/>
    <w:multiLevelType w:val="hybridMultilevel"/>
    <w:tmpl w:val="EC9489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nsid w:val="2B6635A4"/>
    <w:multiLevelType w:val="hybridMultilevel"/>
    <w:tmpl w:val="F8987C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BCF6110"/>
    <w:multiLevelType w:val="hybridMultilevel"/>
    <w:tmpl w:val="CF5444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308802A0"/>
    <w:multiLevelType w:val="hybridMultilevel"/>
    <w:tmpl w:val="BFAA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866843"/>
    <w:multiLevelType w:val="hybridMultilevel"/>
    <w:tmpl w:val="3B626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91D8D"/>
    <w:multiLevelType w:val="hybridMultilevel"/>
    <w:tmpl w:val="2F6C8F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3C2D48EB"/>
    <w:multiLevelType w:val="hybridMultilevel"/>
    <w:tmpl w:val="A4722C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3C4B4407"/>
    <w:multiLevelType w:val="hybridMultilevel"/>
    <w:tmpl w:val="5E1484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nsid w:val="3F2C4389"/>
    <w:multiLevelType w:val="hybridMultilevel"/>
    <w:tmpl w:val="4AD434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B0B3C2D"/>
    <w:multiLevelType w:val="hybridMultilevel"/>
    <w:tmpl w:val="967695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4FF94414"/>
    <w:multiLevelType w:val="hybridMultilevel"/>
    <w:tmpl w:val="F540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D3670B"/>
    <w:multiLevelType w:val="hybridMultilevel"/>
    <w:tmpl w:val="1BF877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5154479D"/>
    <w:multiLevelType w:val="hybridMultilevel"/>
    <w:tmpl w:val="489E27DA"/>
    <w:lvl w:ilvl="0" w:tplc="188616A6">
      <w:start w:val="1"/>
      <w:numFmt w:val="bullet"/>
      <w:lvlText w:val=""/>
      <w:lvlJc w:val="left"/>
      <w:pPr>
        <w:tabs>
          <w:tab w:val="num" w:pos="0"/>
        </w:tabs>
        <w:ind w:left="227" w:hanging="227"/>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nsid w:val="56A715B2"/>
    <w:multiLevelType w:val="hybridMultilevel"/>
    <w:tmpl w:val="114020A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5CEF75B7"/>
    <w:multiLevelType w:val="hybridMultilevel"/>
    <w:tmpl w:val="76CC01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5DBF2436"/>
    <w:multiLevelType w:val="hybridMultilevel"/>
    <w:tmpl w:val="C99E4A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09B6352"/>
    <w:multiLevelType w:val="hybridMultilevel"/>
    <w:tmpl w:val="24AE9E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61E133C5"/>
    <w:multiLevelType w:val="hybridMultilevel"/>
    <w:tmpl w:val="7A2427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630A4447"/>
    <w:multiLevelType w:val="hybridMultilevel"/>
    <w:tmpl w:val="370A0C22"/>
    <w:lvl w:ilvl="0" w:tplc="188616A6">
      <w:start w:val="1"/>
      <w:numFmt w:val="bullet"/>
      <w:lvlText w:val=""/>
      <w:lvlJc w:val="left"/>
      <w:pPr>
        <w:tabs>
          <w:tab w:val="num" w:pos="0"/>
        </w:tabs>
        <w:ind w:left="227" w:hanging="227"/>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nsid w:val="692745FF"/>
    <w:multiLevelType w:val="hybridMultilevel"/>
    <w:tmpl w:val="FE34D86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nsid w:val="69E70526"/>
    <w:multiLevelType w:val="hybridMultilevel"/>
    <w:tmpl w:val="4D0C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580741"/>
    <w:multiLevelType w:val="hybridMultilevel"/>
    <w:tmpl w:val="0568B5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73C92CBC"/>
    <w:multiLevelType w:val="hybridMultilevel"/>
    <w:tmpl w:val="C396FF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77752791"/>
    <w:multiLevelType w:val="hybridMultilevel"/>
    <w:tmpl w:val="65A4B694"/>
    <w:lvl w:ilvl="0" w:tplc="188616A6">
      <w:start w:val="1"/>
      <w:numFmt w:val="bullet"/>
      <w:lvlText w:val=""/>
      <w:lvlJc w:val="left"/>
      <w:pPr>
        <w:tabs>
          <w:tab w:val="num" w:pos="0"/>
        </w:tabs>
        <w:ind w:left="227" w:hanging="227"/>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7">
    <w:nsid w:val="78D14737"/>
    <w:multiLevelType w:val="hybridMultilevel"/>
    <w:tmpl w:val="F60A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5B2851"/>
    <w:multiLevelType w:val="hybridMultilevel"/>
    <w:tmpl w:val="0708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5B47EF"/>
    <w:multiLevelType w:val="hybridMultilevel"/>
    <w:tmpl w:val="CE7CE2BC"/>
    <w:lvl w:ilvl="0" w:tplc="188616A6">
      <w:start w:val="1"/>
      <w:numFmt w:val="bullet"/>
      <w:lvlText w:val=""/>
      <w:lvlJc w:val="left"/>
      <w:pPr>
        <w:tabs>
          <w:tab w:val="num" w:pos="0"/>
        </w:tabs>
        <w:ind w:left="227" w:hanging="227"/>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0">
    <w:nsid w:val="7EE56EEB"/>
    <w:multiLevelType w:val="hybridMultilevel"/>
    <w:tmpl w:val="1AFC8E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
  </w:num>
  <w:num w:numId="4">
    <w:abstractNumId w:val="31"/>
  </w:num>
  <w:num w:numId="5">
    <w:abstractNumId w:val="36"/>
  </w:num>
  <w:num w:numId="6">
    <w:abstractNumId w:val="39"/>
  </w:num>
  <w:num w:numId="7">
    <w:abstractNumId w:val="11"/>
  </w:num>
  <w:num w:numId="8">
    <w:abstractNumId w:val="25"/>
  </w:num>
  <w:num w:numId="9">
    <w:abstractNumId w:val="32"/>
  </w:num>
  <w:num w:numId="10">
    <w:abstractNumId w:val="2"/>
  </w:num>
  <w:num w:numId="11">
    <w:abstractNumId w:val="24"/>
  </w:num>
  <w:num w:numId="12">
    <w:abstractNumId w:val="28"/>
  </w:num>
  <w:num w:numId="13">
    <w:abstractNumId w:val="22"/>
  </w:num>
  <w:num w:numId="14">
    <w:abstractNumId w:val="27"/>
  </w:num>
  <w:num w:numId="15">
    <w:abstractNumId w:val="6"/>
  </w:num>
  <w:num w:numId="16">
    <w:abstractNumId w:val="35"/>
  </w:num>
  <w:num w:numId="17">
    <w:abstractNumId w:val="19"/>
  </w:num>
  <w:num w:numId="18">
    <w:abstractNumId w:val="14"/>
  </w:num>
  <w:num w:numId="19">
    <w:abstractNumId w:val="5"/>
  </w:num>
  <w:num w:numId="20">
    <w:abstractNumId w:val="18"/>
  </w:num>
  <w:num w:numId="21">
    <w:abstractNumId w:val="8"/>
  </w:num>
  <w:num w:numId="22">
    <w:abstractNumId w:val="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lvlOverride w:ilvl="8"/>
  </w:num>
  <w:num w:numId="24">
    <w:abstractNumId w:val="30"/>
  </w:num>
  <w:num w:numId="25">
    <w:abstractNumId w:val="16"/>
  </w:num>
  <w:num w:numId="26">
    <w:abstractNumId w:val="37"/>
  </w:num>
  <w:num w:numId="27">
    <w:abstractNumId w:val="33"/>
  </w:num>
  <w:num w:numId="28">
    <w:abstractNumId w:val="38"/>
  </w:num>
  <w:num w:numId="29">
    <w:abstractNumId w:val="17"/>
  </w:num>
  <w:num w:numId="30">
    <w:abstractNumId w:val="12"/>
  </w:num>
  <w:num w:numId="31">
    <w:abstractNumId w:val="21"/>
  </w:num>
  <w:num w:numId="32">
    <w:abstractNumId w:val="34"/>
  </w:num>
  <w:num w:numId="33">
    <w:abstractNumId w:val="26"/>
  </w:num>
  <w:num w:numId="34">
    <w:abstractNumId w:val="9"/>
  </w:num>
  <w:num w:numId="35">
    <w:abstractNumId w:val="23"/>
  </w:num>
  <w:num w:numId="36">
    <w:abstractNumId w:val="29"/>
  </w:num>
  <w:num w:numId="37">
    <w:abstractNumId w:val="10"/>
  </w:num>
  <w:num w:numId="38">
    <w:abstractNumId w:val="13"/>
  </w:num>
  <w:num w:numId="39">
    <w:abstractNumId w:val="3"/>
  </w:num>
  <w:num w:numId="40">
    <w:abstractNumId w:val="15"/>
  </w:num>
  <w:num w:numId="41">
    <w:abstractNumId w:val="4"/>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Political Sci Review&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9azfsewsrs05devzdjppf52dfsrfwetdsrs&quot;&gt;GG_REF_X4_082010&lt;record-ids&gt;&lt;item&gt;6226&lt;/item&gt;&lt;item&gt;7820&lt;/item&gt;&lt;item&gt;8438&lt;/item&gt;&lt;item&gt;8483&lt;/item&gt;&lt;item&gt;9538&lt;/item&gt;&lt;item&gt;9539&lt;/item&gt;&lt;item&gt;9645&lt;/item&gt;&lt;item&gt;9706&lt;/item&gt;&lt;item&gt;9849&lt;/item&gt;&lt;item&gt;9978&lt;/item&gt;&lt;item&gt;10021&lt;/item&gt;&lt;item&gt;10191&lt;/item&gt;&lt;item&gt;10232&lt;/item&gt;&lt;item&gt;10251&lt;/item&gt;&lt;item&gt;10254&lt;/item&gt;&lt;item&gt;10294&lt;/item&gt;&lt;item&gt;10295&lt;/item&gt;&lt;item&gt;10297&lt;/item&gt;&lt;item&gt;10298&lt;/item&gt;&lt;item&gt;10499&lt;/item&gt;&lt;item&gt;10612&lt;/item&gt;&lt;item&gt;10660&lt;/item&gt;&lt;item&gt;10791&lt;/item&gt;&lt;item&gt;10827&lt;/item&gt;&lt;item&gt;10847&lt;/item&gt;&lt;item&gt;10864&lt;/item&gt;&lt;item&gt;11071&lt;/item&gt;&lt;/record-ids&gt;&lt;/item&gt;&lt;/Libraries&gt;"/>
  </w:docVars>
  <w:rsids>
    <w:rsidRoot w:val="007F45A5"/>
    <w:rsid w:val="00000027"/>
    <w:rsid w:val="0000013B"/>
    <w:rsid w:val="00001653"/>
    <w:rsid w:val="00001772"/>
    <w:rsid w:val="000018CE"/>
    <w:rsid w:val="00001993"/>
    <w:rsid w:val="00002106"/>
    <w:rsid w:val="0000216C"/>
    <w:rsid w:val="0000296C"/>
    <w:rsid w:val="00002A14"/>
    <w:rsid w:val="00003060"/>
    <w:rsid w:val="0000382B"/>
    <w:rsid w:val="00003EA9"/>
    <w:rsid w:val="0000412C"/>
    <w:rsid w:val="000041FE"/>
    <w:rsid w:val="00004724"/>
    <w:rsid w:val="00004893"/>
    <w:rsid w:val="00004993"/>
    <w:rsid w:val="000049B6"/>
    <w:rsid w:val="00004EB0"/>
    <w:rsid w:val="0000521D"/>
    <w:rsid w:val="000054B6"/>
    <w:rsid w:val="0000596E"/>
    <w:rsid w:val="00005E7D"/>
    <w:rsid w:val="000063E2"/>
    <w:rsid w:val="000065F0"/>
    <w:rsid w:val="0000661E"/>
    <w:rsid w:val="00006A23"/>
    <w:rsid w:val="000074C1"/>
    <w:rsid w:val="0000750F"/>
    <w:rsid w:val="000078AC"/>
    <w:rsid w:val="00007EF1"/>
    <w:rsid w:val="00010489"/>
    <w:rsid w:val="0001138C"/>
    <w:rsid w:val="00011927"/>
    <w:rsid w:val="00011BF4"/>
    <w:rsid w:val="00011EA8"/>
    <w:rsid w:val="000121AC"/>
    <w:rsid w:val="00012943"/>
    <w:rsid w:val="00012CCC"/>
    <w:rsid w:val="00012F58"/>
    <w:rsid w:val="000135C4"/>
    <w:rsid w:val="0001384E"/>
    <w:rsid w:val="00013B46"/>
    <w:rsid w:val="000140E2"/>
    <w:rsid w:val="00014DD7"/>
    <w:rsid w:val="00014FF4"/>
    <w:rsid w:val="00015A5B"/>
    <w:rsid w:val="00015A9F"/>
    <w:rsid w:val="00016A3C"/>
    <w:rsid w:val="00016DF5"/>
    <w:rsid w:val="00016EFF"/>
    <w:rsid w:val="00017A29"/>
    <w:rsid w:val="00020541"/>
    <w:rsid w:val="00020554"/>
    <w:rsid w:val="00021DFD"/>
    <w:rsid w:val="00021FEA"/>
    <w:rsid w:val="00022399"/>
    <w:rsid w:val="00022818"/>
    <w:rsid w:val="000239D0"/>
    <w:rsid w:val="00023CE5"/>
    <w:rsid w:val="00024BA5"/>
    <w:rsid w:val="00024D9C"/>
    <w:rsid w:val="000253E0"/>
    <w:rsid w:val="00025B5D"/>
    <w:rsid w:val="00025B9D"/>
    <w:rsid w:val="000261FC"/>
    <w:rsid w:val="00026949"/>
    <w:rsid w:val="00026D0D"/>
    <w:rsid w:val="0002712F"/>
    <w:rsid w:val="0002724D"/>
    <w:rsid w:val="00027701"/>
    <w:rsid w:val="00027FF1"/>
    <w:rsid w:val="000300CB"/>
    <w:rsid w:val="00030193"/>
    <w:rsid w:val="0003030B"/>
    <w:rsid w:val="000304CE"/>
    <w:rsid w:val="000310B4"/>
    <w:rsid w:val="00031E4A"/>
    <w:rsid w:val="000325B7"/>
    <w:rsid w:val="0003266C"/>
    <w:rsid w:val="00032C28"/>
    <w:rsid w:val="0003330E"/>
    <w:rsid w:val="0003359A"/>
    <w:rsid w:val="00033F83"/>
    <w:rsid w:val="0003429E"/>
    <w:rsid w:val="00034E4B"/>
    <w:rsid w:val="00034E92"/>
    <w:rsid w:val="00035EAA"/>
    <w:rsid w:val="00035ECF"/>
    <w:rsid w:val="00036957"/>
    <w:rsid w:val="00036C2F"/>
    <w:rsid w:val="00036F53"/>
    <w:rsid w:val="000372DC"/>
    <w:rsid w:val="000374CF"/>
    <w:rsid w:val="000375AA"/>
    <w:rsid w:val="00037FAF"/>
    <w:rsid w:val="0004001A"/>
    <w:rsid w:val="00040589"/>
    <w:rsid w:val="000407E2"/>
    <w:rsid w:val="00040871"/>
    <w:rsid w:val="00040C92"/>
    <w:rsid w:val="00040ED5"/>
    <w:rsid w:val="0004101F"/>
    <w:rsid w:val="0004135E"/>
    <w:rsid w:val="00041B8E"/>
    <w:rsid w:val="00042157"/>
    <w:rsid w:val="000421BF"/>
    <w:rsid w:val="00042F5B"/>
    <w:rsid w:val="00043302"/>
    <w:rsid w:val="00043C82"/>
    <w:rsid w:val="00043C86"/>
    <w:rsid w:val="00044470"/>
    <w:rsid w:val="00044CE9"/>
    <w:rsid w:val="00044E5C"/>
    <w:rsid w:val="00044FB9"/>
    <w:rsid w:val="0004512B"/>
    <w:rsid w:val="00045281"/>
    <w:rsid w:val="00045897"/>
    <w:rsid w:val="00045D7D"/>
    <w:rsid w:val="00045ED7"/>
    <w:rsid w:val="00046068"/>
    <w:rsid w:val="000466EC"/>
    <w:rsid w:val="00046BC4"/>
    <w:rsid w:val="00046D53"/>
    <w:rsid w:val="00046DC2"/>
    <w:rsid w:val="000479DD"/>
    <w:rsid w:val="00050114"/>
    <w:rsid w:val="0005088E"/>
    <w:rsid w:val="00051027"/>
    <w:rsid w:val="000511F6"/>
    <w:rsid w:val="0005143B"/>
    <w:rsid w:val="000517D1"/>
    <w:rsid w:val="000518E8"/>
    <w:rsid w:val="00053A76"/>
    <w:rsid w:val="000541A4"/>
    <w:rsid w:val="00054588"/>
    <w:rsid w:val="000547E7"/>
    <w:rsid w:val="00054908"/>
    <w:rsid w:val="00054EB0"/>
    <w:rsid w:val="000556CE"/>
    <w:rsid w:val="00055E87"/>
    <w:rsid w:val="000566DD"/>
    <w:rsid w:val="00056822"/>
    <w:rsid w:val="000568C2"/>
    <w:rsid w:val="00057442"/>
    <w:rsid w:val="000578F2"/>
    <w:rsid w:val="00057F99"/>
    <w:rsid w:val="000605CB"/>
    <w:rsid w:val="000608CF"/>
    <w:rsid w:val="00060B30"/>
    <w:rsid w:val="00060C81"/>
    <w:rsid w:val="000612E3"/>
    <w:rsid w:val="000615F3"/>
    <w:rsid w:val="0006180E"/>
    <w:rsid w:val="00061983"/>
    <w:rsid w:val="00061B2D"/>
    <w:rsid w:val="00061C62"/>
    <w:rsid w:val="00061F45"/>
    <w:rsid w:val="00062332"/>
    <w:rsid w:val="0006237B"/>
    <w:rsid w:val="00062863"/>
    <w:rsid w:val="000640F1"/>
    <w:rsid w:val="00064422"/>
    <w:rsid w:val="00064790"/>
    <w:rsid w:val="000648A0"/>
    <w:rsid w:val="000651D1"/>
    <w:rsid w:val="00065424"/>
    <w:rsid w:val="00065914"/>
    <w:rsid w:val="00066ABF"/>
    <w:rsid w:val="00066CAE"/>
    <w:rsid w:val="00067181"/>
    <w:rsid w:val="000671C9"/>
    <w:rsid w:val="00067587"/>
    <w:rsid w:val="00067DA1"/>
    <w:rsid w:val="00070333"/>
    <w:rsid w:val="00070474"/>
    <w:rsid w:val="000708EE"/>
    <w:rsid w:val="00070AF1"/>
    <w:rsid w:val="000713D9"/>
    <w:rsid w:val="0007181F"/>
    <w:rsid w:val="000724BE"/>
    <w:rsid w:val="00072596"/>
    <w:rsid w:val="00072FE3"/>
    <w:rsid w:val="00073886"/>
    <w:rsid w:val="000738DF"/>
    <w:rsid w:val="00073948"/>
    <w:rsid w:val="000739E0"/>
    <w:rsid w:val="00074700"/>
    <w:rsid w:val="00074B0E"/>
    <w:rsid w:val="00074C92"/>
    <w:rsid w:val="00075274"/>
    <w:rsid w:val="00075ACB"/>
    <w:rsid w:val="00075D04"/>
    <w:rsid w:val="0007605B"/>
    <w:rsid w:val="00077088"/>
    <w:rsid w:val="000770A7"/>
    <w:rsid w:val="00077469"/>
    <w:rsid w:val="00077C3F"/>
    <w:rsid w:val="000804F4"/>
    <w:rsid w:val="00080C37"/>
    <w:rsid w:val="0008119C"/>
    <w:rsid w:val="000813E8"/>
    <w:rsid w:val="00081BB9"/>
    <w:rsid w:val="00081ED5"/>
    <w:rsid w:val="00081EEE"/>
    <w:rsid w:val="00082497"/>
    <w:rsid w:val="000836B0"/>
    <w:rsid w:val="00083EFA"/>
    <w:rsid w:val="0008463F"/>
    <w:rsid w:val="0008483E"/>
    <w:rsid w:val="00085399"/>
    <w:rsid w:val="000857C5"/>
    <w:rsid w:val="00085BE9"/>
    <w:rsid w:val="00086714"/>
    <w:rsid w:val="000869BB"/>
    <w:rsid w:val="00086F6F"/>
    <w:rsid w:val="00086FFA"/>
    <w:rsid w:val="000877E7"/>
    <w:rsid w:val="00090219"/>
    <w:rsid w:val="000902FA"/>
    <w:rsid w:val="00090AB3"/>
    <w:rsid w:val="00090B10"/>
    <w:rsid w:val="00090D8F"/>
    <w:rsid w:val="0009166D"/>
    <w:rsid w:val="00092B60"/>
    <w:rsid w:val="000932FD"/>
    <w:rsid w:val="000939E7"/>
    <w:rsid w:val="00093F5F"/>
    <w:rsid w:val="00093FBB"/>
    <w:rsid w:val="00093FE4"/>
    <w:rsid w:val="000940E0"/>
    <w:rsid w:val="000941CA"/>
    <w:rsid w:val="00094343"/>
    <w:rsid w:val="00094414"/>
    <w:rsid w:val="00094523"/>
    <w:rsid w:val="00094939"/>
    <w:rsid w:val="00094F52"/>
    <w:rsid w:val="0009547C"/>
    <w:rsid w:val="00095546"/>
    <w:rsid w:val="00095A6D"/>
    <w:rsid w:val="00095E1B"/>
    <w:rsid w:val="00095E75"/>
    <w:rsid w:val="00096026"/>
    <w:rsid w:val="00096278"/>
    <w:rsid w:val="00096329"/>
    <w:rsid w:val="000964D6"/>
    <w:rsid w:val="00096E7C"/>
    <w:rsid w:val="00096F6C"/>
    <w:rsid w:val="00096FEF"/>
    <w:rsid w:val="000972B4"/>
    <w:rsid w:val="000974F5"/>
    <w:rsid w:val="00097587"/>
    <w:rsid w:val="000975C5"/>
    <w:rsid w:val="00097A55"/>
    <w:rsid w:val="000A00A5"/>
    <w:rsid w:val="000A014B"/>
    <w:rsid w:val="000A04A8"/>
    <w:rsid w:val="000A09FA"/>
    <w:rsid w:val="000A0E87"/>
    <w:rsid w:val="000A114F"/>
    <w:rsid w:val="000A1BC5"/>
    <w:rsid w:val="000A233D"/>
    <w:rsid w:val="000A262E"/>
    <w:rsid w:val="000A2B54"/>
    <w:rsid w:val="000A3643"/>
    <w:rsid w:val="000A39B7"/>
    <w:rsid w:val="000A48FF"/>
    <w:rsid w:val="000A5490"/>
    <w:rsid w:val="000A6706"/>
    <w:rsid w:val="000A6D19"/>
    <w:rsid w:val="000A6DF6"/>
    <w:rsid w:val="000A700B"/>
    <w:rsid w:val="000A7158"/>
    <w:rsid w:val="000A742F"/>
    <w:rsid w:val="000A77FF"/>
    <w:rsid w:val="000A7B92"/>
    <w:rsid w:val="000B0056"/>
    <w:rsid w:val="000B0079"/>
    <w:rsid w:val="000B0413"/>
    <w:rsid w:val="000B06FE"/>
    <w:rsid w:val="000B0873"/>
    <w:rsid w:val="000B0AA3"/>
    <w:rsid w:val="000B197B"/>
    <w:rsid w:val="000B2CD6"/>
    <w:rsid w:val="000B2D0C"/>
    <w:rsid w:val="000B2F15"/>
    <w:rsid w:val="000B360B"/>
    <w:rsid w:val="000B371B"/>
    <w:rsid w:val="000B3AE6"/>
    <w:rsid w:val="000B3B05"/>
    <w:rsid w:val="000B4F4A"/>
    <w:rsid w:val="000B5337"/>
    <w:rsid w:val="000B6A86"/>
    <w:rsid w:val="000B6BC5"/>
    <w:rsid w:val="000B7B6A"/>
    <w:rsid w:val="000B7F01"/>
    <w:rsid w:val="000C0582"/>
    <w:rsid w:val="000C231B"/>
    <w:rsid w:val="000C2B19"/>
    <w:rsid w:val="000C2D72"/>
    <w:rsid w:val="000C3540"/>
    <w:rsid w:val="000C375B"/>
    <w:rsid w:val="000C37A7"/>
    <w:rsid w:val="000C3E9E"/>
    <w:rsid w:val="000C478E"/>
    <w:rsid w:val="000C48B3"/>
    <w:rsid w:val="000C4908"/>
    <w:rsid w:val="000C4FB5"/>
    <w:rsid w:val="000C59DB"/>
    <w:rsid w:val="000C5A59"/>
    <w:rsid w:val="000C672A"/>
    <w:rsid w:val="000C6BC4"/>
    <w:rsid w:val="000C6BCF"/>
    <w:rsid w:val="000C6CB9"/>
    <w:rsid w:val="000C6CD0"/>
    <w:rsid w:val="000C6F7D"/>
    <w:rsid w:val="000C7089"/>
    <w:rsid w:val="000C7507"/>
    <w:rsid w:val="000C78A3"/>
    <w:rsid w:val="000C7D6D"/>
    <w:rsid w:val="000D0CE3"/>
    <w:rsid w:val="000D10D7"/>
    <w:rsid w:val="000D13DB"/>
    <w:rsid w:val="000D1452"/>
    <w:rsid w:val="000D14C2"/>
    <w:rsid w:val="000D1CEF"/>
    <w:rsid w:val="000D3621"/>
    <w:rsid w:val="000D450C"/>
    <w:rsid w:val="000D4520"/>
    <w:rsid w:val="000D46A8"/>
    <w:rsid w:val="000D4901"/>
    <w:rsid w:val="000D53DB"/>
    <w:rsid w:val="000D61DA"/>
    <w:rsid w:val="000D6C0A"/>
    <w:rsid w:val="000D713D"/>
    <w:rsid w:val="000D749F"/>
    <w:rsid w:val="000D79AF"/>
    <w:rsid w:val="000E08FB"/>
    <w:rsid w:val="000E0B5E"/>
    <w:rsid w:val="000E0C54"/>
    <w:rsid w:val="000E0D8D"/>
    <w:rsid w:val="000E0E7D"/>
    <w:rsid w:val="000E15B7"/>
    <w:rsid w:val="000E1C2E"/>
    <w:rsid w:val="000E1ED8"/>
    <w:rsid w:val="000E2310"/>
    <w:rsid w:val="000E2A46"/>
    <w:rsid w:val="000E2D45"/>
    <w:rsid w:val="000E2DFF"/>
    <w:rsid w:val="000E2FD6"/>
    <w:rsid w:val="000E4017"/>
    <w:rsid w:val="000E42BC"/>
    <w:rsid w:val="000E463B"/>
    <w:rsid w:val="000E4F50"/>
    <w:rsid w:val="000E5260"/>
    <w:rsid w:val="000E5E3A"/>
    <w:rsid w:val="000E61A4"/>
    <w:rsid w:val="000E62EA"/>
    <w:rsid w:val="000E666B"/>
    <w:rsid w:val="000E6ED5"/>
    <w:rsid w:val="000E73D5"/>
    <w:rsid w:val="000E776F"/>
    <w:rsid w:val="000E7C62"/>
    <w:rsid w:val="000E7E08"/>
    <w:rsid w:val="000F0E3D"/>
    <w:rsid w:val="000F1E1E"/>
    <w:rsid w:val="000F23D2"/>
    <w:rsid w:val="000F2745"/>
    <w:rsid w:val="000F2EEF"/>
    <w:rsid w:val="000F3027"/>
    <w:rsid w:val="000F3148"/>
    <w:rsid w:val="000F45D1"/>
    <w:rsid w:val="000F464E"/>
    <w:rsid w:val="000F5277"/>
    <w:rsid w:val="000F5328"/>
    <w:rsid w:val="000F53CC"/>
    <w:rsid w:val="000F5B9F"/>
    <w:rsid w:val="000F61C1"/>
    <w:rsid w:val="000F6D18"/>
    <w:rsid w:val="000F76BB"/>
    <w:rsid w:val="000F7D01"/>
    <w:rsid w:val="00100296"/>
    <w:rsid w:val="00100AAA"/>
    <w:rsid w:val="00100D50"/>
    <w:rsid w:val="00101A33"/>
    <w:rsid w:val="00101B25"/>
    <w:rsid w:val="00101D6E"/>
    <w:rsid w:val="00102755"/>
    <w:rsid w:val="00102B99"/>
    <w:rsid w:val="00102F65"/>
    <w:rsid w:val="0010344F"/>
    <w:rsid w:val="00103D0C"/>
    <w:rsid w:val="00104030"/>
    <w:rsid w:val="00104597"/>
    <w:rsid w:val="001045C5"/>
    <w:rsid w:val="0010470E"/>
    <w:rsid w:val="00104ED1"/>
    <w:rsid w:val="0010549B"/>
    <w:rsid w:val="00105698"/>
    <w:rsid w:val="001059F0"/>
    <w:rsid w:val="00105A3E"/>
    <w:rsid w:val="00105AB9"/>
    <w:rsid w:val="00106CAB"/>
    <w:rsid w:val="00106DE3"/>
    <w:rsid w:val="00107199"/>
    <w:rsid w:val="00107C9A"/>
    <w:rsid w:val="00107F3F"/>
    <w:rsid w:val="001100E6"/>
    <w:rsid w:val="001102D4"/>
    <w:rsid w:val="001102EA"/>
    <w:rsid w:val="001103E9"/>
    <w:rsid w:val="00110513"/>
    <w:rsid w:val="00110967"/>
    <w:rsid w:val="00111235"/>
    <w:rsid w:val="001119C8"/>
    <w:rsid w:val="00111FDB"/>
    <w:rsid w:val="00112618"/>
    <w:rsid w:val="001127F8"/>
    <w:rsid w:val="0011281C"/>
    <w:rsid w:val="0011336F"/>
    <w:rsid w:val="001135F7"/>
    <w:rsid w:val="001138A0"/>
    <w:rsid w:val="00113943"/>
    <w:rsid w:val="00113C76"/>
    <w:rsid w:val="00113D42"/>
    <w:rsid w:val="00113E25"/>
    <w:rsid w:val="00113FF7"/>
    <w:rsid w:val="0011455B"/>
    <w:rsid w:val="00114862"/>
    <w:rsid w:val="001150A8"/>
    <w:rsid w:val="0011596B"/>
    <w:rsid w:val="00115B44"/>
    <w:rsid w:val="001162A3"/>
    <w:rsid w:val="00116606"/>
    <w:rsid w:val="00116A48"/>
    <w:rsid w:val="00116BE4"/>
    <w:rsid w:val="00120A9D"/>
    <w:rsid w:val="001213DA"/>
    <w:rsid w:val="001218A6"/>
    <w:rsid w:val="00121C24"/>
    <w:rsid w:val="0012234D"/>
    <w:rsid w:val="00122394"/>
    <w:rsid w:val="00123164"/>
    <w:rsid w:val="00123297"/>
    <w:rsid w:val="0012352A"/>
    <w:rsid w:val="001237D6"/>
    <w:rsid w:val="00123BF8"/>
    <w:rsid w:val="00124DCD"/>
    <w:rsid w:val="001252E4"/>
    <w:rsid w:val="00125ACB"/>
    <w:rsid w:val="00125AF3"/>
    <w:rsid w:val="00125B9A"/>
    <w:rsid w:val="00125BEC"/>
    <w:rsid w:val="0012609F"/>
    <w:rsid w:val="001261BB"/>
    <w:rsid w:val="00126D44"/>
    <w:rsid w:val="00126FEB"/>
    <w:rsid w:val="0012724C"/>
    <w:rsid w:val="0012732B"/>
    <w:rsid w:val="001279E7"/>
    <w:rsid w:val="001302F9"/>
    <w:rsid w:val="00130C95"/>
    <w:rsid w:val="00130FF8"/>
    <w:rsid w:val="00131236"/>
    <w:rsid w:val="0013148D"/>
    <w:rsid w:val="00131614"/>
    <w:rsid w:val="00131F65"/>
    <w:rsid w:val="0013253F"/>
    <w:rsid w:val="001325FA"/>
    <w:rsid w:val="00133481"/>
    <w:rsid w:val="0013386E"/>
    <w:rsid w:val="00133E01"/>
    <w:rsid w:val="00133FC2"/>
    <w:rsid w:val="00134D0A"/>
    <w:rsid w:val="001358CB"/>
    <w:rsid w:val="00135AF2"/>
    <w:rsid w:val="0013681A"/>
    <w:rsid w:val="00136891"/>
    <w:rsid w:val="0013763C"/>
    <w:rsid w:val="00137692"/>
    <w:rsid w:val="00140586"/>
    <w:rsid w:val="0014111E"/>
    <w:rsid w:val="0014213B"/>
    <w:rsid w:val="00142298"/>
    <w:rsid w:val="001428EA"/>
    <w:rsid w:val="00142D89"/>
    <w:rsid w:val="00142E3A"/>
    <w:rsid w:val="00142F10"/>
    <w:rsid w:val="0014324C"/>
    <w:rsid w:val="00143258"/>
    <w:rsid w:val="00143259"/>
    <w:rsid w:val="00143504"/>
    <w:rsid w:val="001438FD"/>
    <w:rsid w:val="00144059"/>
    <w:rsid w:val="0014441F"/>
    <w:rsid w:val="001444FF"/>
    <w:rsid w:val="00144759"/>
    <w:rsid w:val="00144CA1"/>
    <w:rsid w:val="00145757"/>
    <w:rsid w:val="0014599F"/>
    <w:rsid w:val="00145A64"/>
    <w:rsid w:val="00145A81"/>
    <w:rsid w:val="00145CC1"/>
    <w:rsid w:val="00146004"/>
    <w:rsid w:val="00146708"/>
    <w:rsid w:val="00147D27"/>
    <w:rsid w:val="0015076C"/>
    <w:rsid w:val="00150D1C"/>
    <w:rsid w:val="00150DA6"/>
    <w:rsid w:val="00150E18"/>
    <w:rsid w:val="00151717"/>
    <w:rsid w:val="0015183E"/>
    <w:rsid w:val="00151A7F"/>
    <w:rsid w:val="00151EEB"/>
    <w:rsid w:val="00152153"/>
    <w:rsid w:val="00152679"/>
    <w:rsid w:val="00152A8F"/>
    <w:rsid w:val="00152B5D"/>
    <w:rsid w:val="00152BAB"/>
    <w:rsid w:val="001535EF"/>
    <w:rsid w:val="00153E9B"/>
    <w:rsid w:val="001543DB"/>
    <w:rsid w:val="00154472"/>
    <w:rsid w:val="001545CB"/>
    <w:rsid w:val="00154D34"/>
    <w:rsid w:val="001550D4"/>
    <w:rsid w:val="0015554E"/>
    <w:rsid w:val="00155A64"/>
    <w:rsid w:val="001560DF"/>
    <w:rsid w:val="00156474"/>
    <w:rsid w:val="001568A7"/>
    <w:rsid w:val="00156DA7"/>
    <w:rsid w:val="00160BEE"/>
    <w:rsid w:val="00160C52"/>
    <w:rsid w:val="00160C8F"/>
    <w:rsid w:val="00160EAF"/>
    <w:rsid w:val="001611F9"/>
    <w:rsid w:val="001612DD"/>
    <w:rsid w:val="0016221D"/>
    <w:rsid w:val="00162289"/>
    <w:rsid w:val="00162871"/>
    <w:rsid w:val="00162A46"/>
    <w:rsid w:val="00162F2D"/>
    <w:rsid w:val="00163A3A"/>
    <w:rsid w:val="001644FA"/>
    <w:rsid w:val="001646CB"/>
    <w:rsid w:val="00164845"/>
    <w:rsid w:val="00164E80"/>
    <w:rsid w:val="001650C9"/>
    <w:rsid w:val="001651ED"/>
    <w:rsid w:val="00165385"/>
    <w:rsid w:val="00165397"/>
    <w:rsid w:val="00165866"/>
    <w:rsid w:val="00165C6C"/>
    <w:rsid w:val="00166631"/>
    <w:rsid w:val="001666F0"/>
    <w:rsid w:val="00166822"/>
    <w:rsid w:val="00166D8E"/>
    <w:rsid w:val="00166E5F"/>
    <w:rsid w:val="00166FE4"/>
    <w:rsid w:val="0017000A"/>
    <w:rsid w:val="00170C41"/>
    <w:rsid w:val="00170C45"/>
    <w:rsid w:val="001717FC"/>
    <w:rsid w:val="00171A44"/>
    <w:rsid w:val="001721F9"/>
    <w:rsid w:val="0017255E"/>
    <w:rsid w:val="00172656"/>
    <w:rsid w:val="00172726"/>
    <w:rsid w:val="00172895"/>
    <w:rsid w:val="00172C1E"/>
    <w:rsid w:val="0017350F"/>
    <w:rsid w:val="0017376F"/>
    <w:rsid w:val="0017398D"/>
    <w:rsid w:val="00173E8D"/>
    <w:rsid w:val="00174145"/>
    <w:rsid w:val="0017456B"/>
    <w:rsid w:val="001745E3"/>
    <w:rsid w:val="0017473C"/>
    <w:rsid w:val="00174868"/>
    <w:rsid w:val="00175860"/>
    <w:rsid w:val="00175B27"/>
    <w:rsid w:val="001763CE"/>
    <w:rsid w:val="001763F4"/>
    <w:rsid w:val="001766C2"/>
    <w:rsid w:val="001767F4"/>
    <w:rsid w:val="00176A57"/>
    <w:rsid w:val="00176FEE"/>
    <w:rsid w:val="00177325"/>
    <w:rsid w:val="00177ACF"/>
    <w:rsid w:val="00177D06"/>
    <w:rsid w:val="001806D3"/>
    <w:rsid w:val="00180D21"/>
    <w:rsid w:val="00181AC7"/>
    <w:rsid w:val="00182989"/>
    <w:rsid w:val="00182B4E"/>
    <w:rsid w:val="00182E27"/>
    <w:rsid w:val="001835CA"/>
    <w:rsid w:val="00184386"/>
    <w:rsid w:val="00184698"/>
    <w:rsid w:val="00184A78"/>
    <w:rsid w:val="00184D56"/>
    <w:rsid w:val="00184FBB"/>
    <w:rsid w:val="00185259"/>
    <w:rsid w:val="001854E9"/>
    <w:rsid w:val="0018557C"/>
    <w:rsid w:val="00185A0A"/>
    <w:rsid w:val="00185A41"/>
    <w:rsid w:val="00185C76"/>
    <w:rsid w:val="00185CBD"/>
    <w:rsid w:val="00185F39"/>
    <w:rsid w:val="00185F44"/>
    <w:rsid w:val="00186011"/>
    <w:rsid w:val="0018686E"/>
    <w:rsid w:val="00187162"/>
    <w:rsid w:val="001879D4"/>
    <w:rsid w:val="00187A3B"/>
    <w:rsid w:val="00190C59"/>
    <w:rsid w:val="0019136C"/>
    <w:rsid w:val="0019216C"/>
    <w:rsid w:val="0019233E"/>
    <w:rsid w:val="00192E1B"/>
    <w:rsid w:val="00193B67"/>
    <w:rsid w:val="00194332"/>
    <w:rsid w:val="001947A4"/>
    <w:rsid w:val="0019487B"/>
    <w:rsid w:val="00194A82"/>
    <w:rsid w:val="0019565C"/>
    <w:rsid w:val="0019582B"/>
    <w:rsid w:val="001959CE"/>
    <w:rsid w:val="001959D9"/>
    <w:rsid w:val="00195EF3"/>
    <w:rsid w:val="0019628E"/>
    <w:rsid w:val="00196EF2"/>
    <w:rsid w:val="0019728C"/>
    <w:rsid w:val="001973A8"/>
    <w:rsid w:val="001978E4"/>
    <w:rsid w:val="00197ADA"/>
    <w:rsid w:val="001A12C7"/>
    <w:rsid w:val="001A2239"/>
    <w:rsid w:val="001A2399"/>
    <w:rsid w:val="001A2F68"/>
    <w:rsid w:val="001A32E9"/>
    <w:rsid w:val="001A3608"/>
    <w:rsid w:val="001A3890"/>
    <w:rsid w:val="001A435D"/>
    <w:rsid w:val="001A5171"/>
    <w:rsid w:val="001A5419"/>
    <w:rsid w:val="001A5A4E"/>
    <w:rsid w:val="001A5BF2"/>
    <w:rsid w:val="001A5D11"/>
    <w:rsid w:val="001A5F30"/>
    <w:rsid w:val="001A61C0"/>
    <w:rsid w:val="001A6554"/>
    <w:rsid w:val="001A6CFD"/>
    <w:rsid w:val="001A6F63"/>
    <w:rsid w:val="001A6FD5"/>
    <w:rsid w:val="001A7084"/>
    <w:rsid w:val="001A716A"/>
    <w:rsid w:val="001A735E"/>
    <w:rsid w:val="001A7A96"/>
    <w:rsid w:val="001B0202"/>
    <w:rsid w:val="001B0922"/>
    <w:rsid w:val="001B094A"/>
    <w:rsid w:val="001B09A4"/>
    <w:rsid w:val="001B14A6"/>
    <w:rsid w:val="001B1F78"/>
    <w:rsid w:val="001B2213"/>
    <w:rsid w:val="001B283C"/>
    <w:rsid w:val="001B2C3F"/>
    <w:rsid w:val="001B2E51"/>
    <w:rsid w:val="001B2F09"/>
    <w:rsid w:val="001B32C4"/>
    <w:rsid w:val="001B34C0"/>
    <w:rsid w:val="001B3D29"/>
    <w:rsid w:val="001B4BB5"/>
    <w:rsid w:val="001B5256"/>
    <w:rsid w:val="001B5886"/>
    <w:rsid w:val="001B5C20"/>
    <w:rsid w:val="001B5E68"/>
    <w:rsid w:val="001B5E70"/>
    <w:rsid w:val="001B60EC"/>
    <w:rsid w:val="001B611E"/>
    <w:rsid w:val="001B6A9C"/>
    <w:rsid w:val="001B6F38"/>
    <w:rsid w:val="001B7488"/>
    <w:rsid w:val="001B7971"/>
    <w:rsid w:val="001B7EF5"/>
    <w:rsid w:val="001C043C"/>
    <w:rsid w:val="001C05D2"/>
    <w:rsid w:val="001C0711"/>
    <w:rsid w:val="001C08CF"/>
    <w:rsid w:val="001C0E3A"/>
    <w:rsid w:val="001C1363"/>
    <w:rsid w:val="001C1BC3"/>
    <w:rsid w:val="001C1D0F"/>
    <w:rsid w:val="001C1EEA"/>
    <w:rsid w:val="001C3065"/>
    <w:rsid w:val="001C486C"/>
    <w:rsid w:val="001C4A41"/>
    <w:rsid w:val="001C4BBE"/>
    <w:rsid w:val="001C628C"/>
    <w:rsid w:val="001C662A"/>
    <w:rsid w:val="001C6A0B"/>
    <w:rsid w:val="001C6ACC"/>
    <w:rsid w:val="001C6C86"/>
    <w:rsid w:val="001C70BC"/>
    <w:rsid w:val="001C7431"/>
    <w:rsid w:val="001C77D7"/>
    <w:rsid w:val="001D0063"/>
    <w:rsid w:val="001D04E9"/>
    <w:rsid w:val="001D06D3"/>
    <w:rsid w:val="001D0CD0"/>
    <w:rsid w:val="001D112B"/>
    <w:rsid w:val="001D12F9"/>
    <w:rsid w:val="001D151F"/>
    <w:rsid w:val="001D1536"/>
    <w:rsid w:val="001D170E"/>
    <w:rsid w:val="001D1D32"/>
    <w:rsid w:val="001D1DCA"/>
    <w:rsid w:val="001D212A"/>
    <w:rsid w:val="001D2E84"/>
    <w:rsid w:val="001D2F34"/>
    <w:rsid w:val="001D3318"/>
    <w:rsid w:val="001D337C"/>
    <w:rsid w:val="001D39B5"/>
    <w:rsid w:val="001D3A03"/>
    <w:rsid w:val="001D4A42"/>
    <w:rsid w:val="001D5A7C"/>
    <w:rsid w:val="001D5C08"/>
    <w:rsid w:val="001D63D7"/>
    <w:rsid w:val="001D682C"/>
    <w:rsid w:val="001D71EE"/>
    <w:rsid w:val="001D7696"/>
    <w:rsid w:val="001D7D4B"/>
    <w:rsid w:val="001D7E83"/>
    <w:rsid w:val="001E0308"/>
    <w:rsid w:val="001E03CA"/>
    <w:rsid w:val="001E070A"/>
    <w:rsid w:val="001E10E5"/>
    <w:rsid w:val="001E200E"/>
    <w:rsid w:val="001E2233"/>
    <w:rsid w:val="001E27D2"/>
    <w:rsid w:val="001E28B5"/>
    <w:rsid w:val="001E2A2D"/>
    <w:rsid w:val="001E2D28"/>
    <w:rsid w:val="001E2E25"/>
    <w:rsid w:val="001E2F76"/>
    <w:rsid w:val="001E37C1"/>
    <w:rsid w:val="001E37FA"/>
    <w:rsid w:val="001E4366"/>
    <w:rsid w:val="001E4375"/>
    <w:rsid w:val="001E4442"/>
    <w:rsid w:val="001E4486"/>
    <w:rsid w:val="001E4577"/>
    <w:rsid w:val="001E5219"/>
    <w:rsid w:val="001E5BD0"/>
    <w:rsid w:val="001E5EDC"/>
    <w:rsid w:val="001E6288"/>
    <w:rsid w:val="001E6397"/>
    <w:rsid w:val="001E6ADF"/>
    <w:rsid w:val="001E7644"/>
    <w:rsid w:val="001E7AFF"/>
    <w:rsid w:val="001E7DAD"/>
    <w:rsid w:val="001F036E"/>
    <w:rsid w:val="001F0932"/>
    <w:rsid w:val="001F0EFE"/>
    <w:rsid w:val="001F20F8"/>
    <w:rsid w:val="001F25E8"/>
    <w:rsid w:val="001F260F"/>
    <w:rsid w:val="001F28C3"/>
    <w:rsid w:val="001F2D15"/>
    <w:rsid w:val="001F3C95"/>
    <w:rsid w:val="001F3E6A"/>
    <w:rsid w:val="001F3FD0"/>
    <w:rsid w:val="001F453D"/>
    <w:rsid w:val="001F46DA"/>
    <w:rsid w:val="001F4AB7"/>
    <w:rsid w:val="001F4C50"/>
    <w:rsid w:val="001F54B5"/>
    <w:rsid w:val="001F5F0E"/>
    <w:rsid w:val="001F5F38"/>
    <w:rsid w:val="001F5FFA"/>
    <w:rsid w:val="001F689A"/>
    <w:rsid w:val="001F6CD4"/>
    <w:rsid w:val="001F7022"/>
    <w:rsid w:val="001F7065"/>
    <w:rsid w:val="001F74BD"/>
    <w:rsid w:val="001F7501"/>
    <w:rsid w:val="001F7CFC"/>
    <w:rsid w:val="001F7DA0"/>
    <w:rsid w:val="0020044B"/>
    <w:rsid w:val="0020070F"/>
    <w:rsid w:val="0020105D"/>
    <w:rsid w:val="00201438"/>
    <w:rsid w:val="002015C9"/>
    <w:rsid w:val="002018BF"/>
    <w:rsid w:val="00201A4F"/>
    <w:rsid w:val="00201E30"/>
    <w:rsid w:val="00201F20"/>
    <w:rsid w:val="0020206E"/>
    <w:rsid w:val="0020252E"/>
    <w:rsid w:val="00202635"/>
    <w:rsid w:val="00202A4A"/>
    <w:rsid w:val="00203D7D"/>
    <w:rsid w:val="00204FAF"/>
    <w:rsid w:val="0020503E"/>
    <w:rsid w:val="002055F7"/>
    <w:rsid w:val="0020664E"/>
    <w:rsid w:val="00206C8B"/>
    <w:rsid w:val="00206E36"/>
    <w:rsid w:val="0020721A"/>
    <w:rsid w:val="0020730B"/>
    <w:rsid w:val="002079F2"/>
    <w:rsid w:val="00207A79"/>
    <w:rsid w:val="00207B8B"/>
    <w:rsid w:val="00210304"/>
    <w:rsid w:val="002109E9"/>
    <w:rsid w:val="0021150B"/>
    <w:rsid w:val="002119C0"/>
    <w:rsid w:val="0021256D"/>
    <w:rsid w:val="00212B5D"/>
    <w:rsid w:val="0021330B"/>
    <w:rsid w:val="002135FE"/>
    <w:rsid w:val="00213B13"/>
    <w:rsid w:val="00213F0B"/>
    <w:rsid w:val="00214326"/>
    <w:rsid w:val="0021449B"/>
    <w:rsid w:val="00214982"/>
    <w:rsid w:val="00214DB3"/>
    <w:rsid w:val="002150CD"/>
    <w:rsid w:val="002156B2"/>
    <w:rsid w:val="00215C36"/>
    <w:rsid w:val="00215DD5"/>
    <w:rsid w:val="00215E54"/>
    <w:rsid w:val="002160BC"/>
    <w:rsid w:val="002161D3"/>
    <w:rsid w:val="00216DC0"/>
    <w:rsid w:val="002173AE"/>
    <w:rsid w:val="00217A37"/>
    <w:rsid w:val="002200C2"/>
    <w:rsid w:val="002203C5"/>
    <w:rsid w:val="00221021"/>
    <w:rsid w:val="00221231"/>
    <w:rsid w:val="002215FD"/>
    <w:rsid w:val="00221EF6"/>
    <w:rsid w:val="002222F8"/>
    <w:rsid w:val="0022292D"/>
    <w:rsid w:val="00222D67"/>
    <w:rsid w:val="00223305"/>
    <w:rsid w:val="00223B83"/>
    <w:rsid w:val="00224095"/>
    <w:rsid w:val="00224680"/>
    <w:rsid w:val="00224F6C"/>
    <w:rsid w:val="00225046"/>
    <w:rsid w:val="00227041"/>
    <w:rsid w:val="00227461"/>
    <w:rsid w:val="00227D1C"/>
    <w:rsid w:val="00227E9E"/>
    <w:rsid w:val="00230411"/>
    <w:rsid w:val="0023192E"/>
    <w:rsid w:val="00231D9F"/>
    <w:rsid w:val="002324B9"/>
    <w:rsid w:val="00232B06"/>
    <w:rsid w:val="00233322"/>
    <w:rsid w:val="00233324"/>
    <w:rsid w:val="00234235"/>
    <w:rsid w:val="00234597"/>
    <w:rsid w:val="00234DD5"/>
    <w:rsid w:val="0023521F"/>
    <w:rsid w:val="002359E4"/>
    <w:rsid w:val="00235A34"/>
    <w:rsid w:val="00235AA4"/>
    <w:rsid w:val="00235D83"/>
    <w:rsid w:val="00236195"/>
    <w:rsid w:val="00237064"/>
    <w:rsid w:val="0023706D"/>
    <w:rsid w:val="0023737B"/>
    <w:rsid w:val="002376BD"/>
    <w:rsid w:val="00237918"/>
    <w:rsid w:val="00237AA0"/>
    <w:rsid w:val="00237CA4"/>
    <w:rsid w:val="00240B05"/>
    <w:rsid w:val="00241B1C"/>
    <w:rsid w:val="00241D81"/>
    <w:rsid w:val="00242570"/>
    <w:rsid w:val="00242620"/>
    <w:rsid w:val="00242AE3"/>
    <w:rsid w:val="0024334B"/>
    <w:rsid w:val="0024379A"/>
    <w:rsid w:val="002443F0"/>
    <w:rsid w:val="002451EA"/>
    <w:rsid w:val="002456D0"/>
    <w:rsid w:val="00245E66"/>
    <w:rsid w:val="00246640"/>
    <w:rsid w:val="00246717"/>
    <w:rsid w:val="002467BB"/>
    <w:rsid w:val="00246964"/>
    <w:rsid w:val="00247818"/>
    <w:rsid w:val="00250AA3"/>
    <w:rsid w:val="00250CE7"/>
    <w:rsid w:val="002513EB"/>
    <w:rsid w:val="00251565"/>
    <w:rsid w:val="0025168F"/>
    <w:rsid w:val="002516F7"/>
    <w:rsid w:val="0025179E"/>
    <w:rsid w:val="002518CF"/>
    <w:rsid w:val="002519DE"/>
    <w:rsid w:val="00251D19"/>
    <w:rsid w:val="00251F9D"/>
    <w:rsid w:val="0025210F"/>
    <w:rsid w:val="00253063"/>
    <w:rsid w:val="00253D80"/>
    <w:rsid w:val="00253EE6"/>
    <w:rsid w:val="002544AA"/>
    <w:rsid w:val="002544ED"/>
    <w:rsid w:val="002548B6"/>
    <w:rsid w:val="00254CDA"/>
    <w:rsid w:val="00255489"/>
    <w:rsid w:val="00256864"/>
    <w:rsid w:val="00256ACA"/>
    <w:rsid w:val="00256DEE"/>
    <w:rsid w:val="00256F23"/>
    <w:rsid w:val="0025721B"/>
    <w:rsid w:val="00257673"/>
    <w:rsid w:val="00257AF5"/>
    <w:rsid w:val="00257B06"/>
    <w:rsid w:val="002604BA"/>
    <w:rsid w:val="0026077D"/>
    <w:rsid w:val="00260894"/>
    <w:rsid w:val="00260EC9"/>
    <w:rsid w:val="00261812"/>
    <w:rsid w:val="002618EC"/>
    <w:rsid w:val="00261CCE"/>
    <w:rsid w:val="0026204C"/>
    <w:rsid w:val="002627F1"/>
    <w:rsid w:val="00263268"/>
    <w:rsid w:val="00263790"/>
    <w:rsid w:val="0026393D"/>
    <w:rsid w:val="00263AD8"/>
    <w:rsid w:val="00263BF3"/>
    <w:rsid w:val="00263D6B"/>
    <w:rsid w:val="00264816"/>
    <w:rsid w:val="00264971"/>
    <w:rsid w:val="00264C6B"/>
    <w:rsid w:val="00264F48"/>
    <w:rsid w:val="002652FF"/>
    <w:rsid w:val="00265CF8"/>
    <w:rsid w:val="00265D83"/>
    <w:rsid w:val="002663C6"/>
    <w:rsid w:val="00266E36"/>
    <w:rsid w:val="00266F4F"/>
    <w:rsid w:val="0026753F"/>
    <w:rsid w:val="00267984"/>
    <w:rsid w:val="00267D7F"/>
    <w:rsid w:val="00270056"/>
    <w:rsid w:val="002707A3"/>
    <w:rsid w:val="00270E62"/>
    <w:rsid w:val="002714BA"/>
    <w:rsid w:val="002718F9"/>
    <w:rsid w:val="00271E65"/>
    <w:rsid w:val="00271FEB"/>
    <w:rsid w:val="00272BA5"/>
    <w:rsid w:val="0027309B"/>
    <w:rsid w:val="00273C1B"/>
    <w:rsid w:val="00275274"/>
    <w:rsid w:val="002757F1"/>
    <w:rsid w:val="00275E31"/>
    <w:rsid w:val="0027674C"/>
    <w:rsid w:val="0027697B"/>
    <w:rsid w:val="002769B3"/>
    <w:rsid w:val="00276EFD"/>
    <w:rsid w:val="002771DA"/>
    <w:rsid w:val="00277526"/>
    <w:rsid w:val="00277885"/>
    <w:rsid w:val="00277AB4"/>
    <w:rsid w:val="00277D3A"/>
    <w:rsid w:val="00277DB4"/>
    <w:rsid w:val="00277FAB"/>
    <w:rsid w:val="002802D2"/>
    <w:rsid w:val="00280534"/>
    <w:rsid w:val="002809F8"/>
    <w:rsid w:val="00280E1D"/>
    <w:rsid w:val="002817C2"/>
    <w:rsid w:val="00282B64"/>
    <w:rsid w:val="00282DCB"/>
    <w:rsid w:val="00282EE8"/>
    <w:rsid w:val="00283543"/>
    <w:rsid w:val="00283915"/>
    <w:rsid w:val="00283A80"/>
    <w:rsid w:val="00283C41"/>
    <w:rsid w:val="00283F74"/>
    <w:rsid w:val="002844E7"/>
    <w:rsid w:val="0028475A"/>
    <w:rsid w:val="00284800"/>
    <w:rsid w:val="00284D25"/>
    <w:rsid w:val="00284F8B"/>
    <w:rsid w:val="00285227"/>
    <w:rsid w:val="0028535A"/>
    <w:rsid w:val="002853F0"/>
    <w:rsid w:val="002855C8"/>
    <w:rsid w:val="002857AD"/>
    <w:rsid w:val="00285DD7"/>
    <w:rsid w:val="002872D7"/>
    <w:rsid w:val="002902B2"/>
    <w:rsid w:val="0029072B"/>
    <w:rsid w:val="00290DA4"/>
    <w:rsid w:val="00290E1C"/>
    <w:rsid w:val="002918B5"/>
    <w:rsid w:val="002919DE"/>
    <w:rsid w:val="00291BEA"/>
    <w:rsid w:val="00291F2A"/>
    <w:rsid w:val="002922BF"/>
    <w:rsid w:val="002925D5"/>
    <w:rsid w:val="0029278B"/>
    <w:rsid w:val="0029334D"/>
    <w:rsid w:val="00293DE7"/>
    <w:rsid w:val="002940F7"/>
    <w:rsid w:val="00294ADC"/>
    <w:rsid w:val="00295960"/>
    <w:rsid w:val="00295A3E"/>
    <w:rsid w:val="00295F66"/>
    <w:rsid w:val="00295FEB"/>
    <w:rsid w:val="002964A2"/>
    <w:rsid w:val="00296DF3"/>
    <w:rsid w:val="00297922"/>
    <w:rsid w:val="00297A21"/>
    <w:rsid w:val="00297B50"/>
    <w:rsid w:val="00297EC0"/>
    <w:rsid w:val="002A0130"/>
    <w:rsid w:val="002A021A"/>
    <w:rsid w:val="002A059E"/>
    <w:rsid w:val="002A05C5"/>
    <w:rsid w:val="002A0AD5"/>
    <w:rsid w:val="002A10E4"/>
    <w:rsid w:val="002A1250"/>
    <w:rsid w:val="002A1505"/>
    <w:rsid w:val="002A2138"/>
    <w:rsid w:val="002A2935"/>
    <w:rsid w:val="002A2EE4"/>
    <w:rsid w:val="002A31B0"/>
    <w:rsid w:val="002A357E"/>
    <w:rsid w:val="002A3A3B"/>
    <w:rsid w:val="002A4D5B"/>
    <w:rsid w:val="002A5BAF"/>
    <w:rsid w:val="002A5CE4"/>
    <w:rsid w:val="002A5FB4"/>
    <w:rsid w:val="002A6953"/>
    <w:rsid w:val="002A6E29"/>
    <w:rsid w:val="002A6F3A"/>
    <w:rsid w:val="002A723E"/>
    <w:rsid w:val="002A731B"/>
    <w:rsid w:val="002A7DF8"/>
    <w:rsid w:val="002A7EC2"/>
    <w:rsid w:val="002B042C"/>
    <w:rsid w:val="002B0B7E"/>
    <w:rsid w:val="002B12C5"/>
    <w:rsid w:val="002B1352"/>
    <w:rsid w:val="002B18C2"/>
    <w:rsid w:val="002B19AC"/>
    <w:rsid w:val="002B19E5"/>
    <w:rsid w:val="002B231F"/>
    <w:rsid w:val="002B25C2"/>
    <w:rsid w:val="002B2DF1"/>
    <w:rsid w:val="002B30BF"/>
    <w:rsid w:val="002B491D"/>
    <w:rsid w:val="002B4EE5"/>
    <w:rsid w:val="002B500B"/>
    <w:rsid w:val="002B57F2"/>
    <w:rsid w:val="002B5919"/>
    <w:rsid w:val="002B667F"/>
    <w:rsid w:val="002B72C1"/>
    <w:rsid w:val="002C03EE"/>
    <w:rsid w:val="002C0583"/>
    <w:rsid w:val="002C0598"/>
    <w:rsid w:val="002C0AEE"/>
    <w:rsid w:val="002C11AE"/>
    <w:rsid w:val="002C123A"/>
    <w:rsid w:val="002C12CD"/>
    <w:rsid w:val="002C1985"/>
    <w:rsid w:val="002C1D58"/>
    <w:rsid w:val="002C1E8F"/>
    <w:rsid w:val="002C1ECA"/>
    <w:rsid w:val="002C2248"/>
    <w:rsid w:val="002C2527"/>
    <w:rsid w:val="002C26A5"/>
    <w:rsid w:val="002C2831"/>
    <w:rsid w:val="002C45FA"/>
    <w:rsid w:val="002C484E"/>
    <w:rsid w:val="002C4B3F"/>
    <w:rsid w:val="002C4EA0"/>
    <w:rsid w:val="002C58D6"/>
    <w:rsid w:val="002C5C1C"/>
    <w:rsid w:val="002C6808"/>
    <w:rsid w:val="002C6FB9"/>
    <w:rsid w:val="002C73C5"/>
    <w:rsid w:val="002C7EA5"/>
    <w:rsid w:val="002D05DA"/>
    <w:rsid w:val="002D15AB"/>
    <w:rsid w:val="002D179A"/>
    <w:rsid w:val="002D1F5F"/>
    <w:rsid w:val="002D20C5"/>
    <w:rsid w:val="002D29E0"/>
    <w:rsid w:val="002D3605"/>
    <w:rsid w:val="002D368B"/>
    <w:rsid w:val="002D3EC7"/>
    <w:rsid w:val="002D4564"/>
    <w:rsid w:val="002D470F"/>
    <w:rsid w:val="002D49E8"/>
    <w:rsid w:val="002D4C28"/>
    <w:rsid w:val="002D5097"/>
    <w:rsid w:val="002D5401"/>
    <w:rsid w:val="002D5CA5"/>
    <w:rsid w:val="002D74E6"/>
    <w:rsid w:val="002D76F2"/>
    <w:rsid w:val="002E009C"/>
    <w:rsid w:val="002E04A0"/>
    <w:rsid w:val="002E101F"/>
    <w:rsid w:val="002E1220"/>
    <w:rsid w:val="002E1303"/>
    <w:rsid w:val="002E13E3"/>
    <w:rsid w:val="002E1414"/>
    <w:rsid w:val="002E157B"/>
    <w:rsid w:val="002E16DA"/>
    <w:rsid w:val="002E1732"/>
    <w:rsid w:val="002E17C9"/>
    <w:rsid w:val="002E1C51"/>
    <w:rsid w:val="002E1D9B"/>
    <w:rsid w:val="002E20E6"/>
    <w:rsid w:val="002E320C"/>
    <w:rsid w:val="002E3BAE"/>
    <w:rsid w:val="002E3F0C"/>
    <w:rsid w:val="002E4484"/>
    <w:rsid w:val="002E488B"/>
    <w:rsid w:val="002E49D5"/>
    <w:rsid w:val="002E4AEF"/>
    <w:rsid w:val="002E4B81"/>
    <w:rsid w:val="002E4CBD"/>
    <w:rsid w:val="002E4D6B"/>
    <w:rsid w:val="002E4E07"/>
    <w:rsid w:val="002E5034"/>
    <w:rsid w:val="002E50B3"/>
    <w:rsid w:val="002E5644"/>
    <w:rsid w:val="002E5F02"/>
    <w:rsid w:val="002E5F7A"/>
    <w:rsid w:val="002E601F"/>
    <w:rsid w:val="002E6225"/>
    <w:rsid w:val="002E669B"/>
    <w:rsid w:val="002E6D7C"/>
    <w:rsid w:val="002E7D7B"/>
    <w:rsid w:val="002F0229"/>
    <w:rsid w:val="002F06F8"/>
    <w:rsid w:val="002F08FB"/>
    <w:rsid w:val="002F0CA7"/>
    <w:rsid w:val="002F13D8"/>
    <w:rsid w:val="002F1628"/>
    <w:rsid w:val="002F1C05"/>
    <w:rsid w:val="002F21E3"/>
    <w:rsid w:val="002F2962"/>
    <w:rsid w:val="002F2FFC"/>
    <w:rsid w:val="002F3AF1"/>
    <w:rsid w:val="002F3CD1"/>
    <w:rsid w:val="002F4966"/>
    <w:rsid w:val="002F4B79"/>
    <w:rsid w:val="002F4D7E"/>
    <w:rsid w:val="002F4DB3"/>
    <w:rsid w:val="002F531E"/>
    <w:rsid w:val="002F57AA"/>
    <w:rsid w:val="002F58E4"/>
    <w:rsid w:val="002F595B"/>
    <w:rsid w:val="002F5BF8"/>
    <w:rsid w:val="002F5C4C"/>
    <w:rsid w:val="002F5F4E"/>
    <w:rsid w:val="002F60D2"/>
    <w:rsid w:val="002F6D5D"/>
    <w:rsid w:val="002F771E"/>
    <w:rsid w:val="002F7730"/>
    <w:rsid w:val="002F7A8D"/>
    <w:rsid w:val="002F7E30"/>
    <w:rsid w:val="00300156"/>
    <w:rsid w:val="003008A6"/>
    <w:rsid w:val="00300D89"/>
    <w:rsid w:val="00300DD0"/>
    <w:rsid w:val="00301313"/>
    <w:rsid w:val="003019AA"/>
    <w:rsid w:val="003023FE"/>
    <w:rsid w:val="00302E46"/>
    <w:rsid w:val="003030F2"/>
    <w:rsid w:val="003031C0"/>
    <w:rsid w:val="00303348"/>
    <w:rsid w:val="003033B8"/>
    <w:rsid w:val="00303DC7"/>
    <w:rsid w:val="00303F9B"/>
    <w:rsid w:val="003045E5"/>
    <w:rsid w:val="00304992"/>
    <w:rsid w:val="00304C3D"/>
    <w:rsid w:val="003052A8"/>
    <w:rsid w:val="003055E2"/>
    <w:rsid w:val="00305B1B"/>
    <w:rsid w:val="00306277"/>
    <w:rsid w:val="003062F4"/>
    <w:rsid w:val="00306519"/>
    <w:rsid w:val="00306757"/>
    <w:rsid w:val="003069DB"/>
    <w:rsid w:val="00306E38"/>
    <w:rsid w:val="00307453"/>
    <w:rsid w:val="00310101"/>
    <w:rsid w:val="0031067B"/>
    <w:rsid w:val="00310845"/>
    <w:rsid w:val="00310D1B"/>
    <w:rsid w:val="0031130D"/>
    <w:rsid w:val="003115EB"/>
    <w:rsid w:val="0031184A"/>
    <w:rsid w:val="003120C8"/>
    <w:rsid w:val="003121B1"/>
    <w:rsid w:val="003125E0"/>
    <w:rsid w:val="00312654"/>
    <w:rsid w:val="00312A08"/>
    <w:rsid w:val="00312A1A"/>
    <w:rsid w:val="00312BA1"/>
    <w:rsid w:val="0031367A"/>
    <w:rsid w:val="00313A29"/>
    <w:rsid w:val="00313D36"/>
    <w:rsid w:val="0031400B"/>
    <w:rsid w:val="003146C9"/>
    <w:rsid w:val="00314F99"/>
    <w:rsid w:val="00315009"/>
    <w:rsid w:val="00315062"/>
    <w:rsid w:val="00315284"/>
    <w:rsid w:val="0031558C"/>
    <w:rsid w:val="003155C7"/>
    <w:rsid w:val="003158AD"/>
    <w:rsid w:val="003163EA"/>
    <w:rsid w:val="0031664D"/>
    <w:rsid w:val="00316C49"/>
    <w:rsid w:val="00316C58"/>
    <w:rsid w:val="00316F5A"/>
    <w:rsid w:val="0031712F"/>
    <w:rsid w:val="0031728E"/>
    <w:rsid w:val="0032020B"/>
    <w:rsid w:val="003204F4"/>
    <w:rsid w:val="003206BE"/>
    <w:rsid w:val="003208FC"/>
    <w:rsid w:val="003209B4"/>
    <w:rsid w:val="00320A3F"/>
    <w:rsid w:val="0032156D"/>
    <w:rsid w:val="00321B1C"/>
    <w:rsid w:val="00321BED"/>
    <w:rsid w:val="00321F20"/>
    <w:rsid w:val="003220A9"/>
    <w:rsid w:val="003221B7"/>
    <w:rsid w:val="00322691"/>
    <w:rsid w:val="003228A6"/>
    <w:rsid w:val="00322D50"/>
    <w:rsid w:val="00322DB1"/>
    <w:rsid w:val="00323034"/>
    <w:rsid w:val="003231CD"/>
    <w:rsid w:val="00323D6A"/>
    <w:rsid w:val="00323FD6"/>
    <w:rsid w:val="00324982"/>
    <w:rsid w:val="003249C0"/>
    <w:rsid w:val="00325014"/>
    <w:rsid w:val="00325099"/>
    <w:rsid w:val="003255D8"/>
    <w:rsid w:val="0032584A"/>
    <w:rsid w:val="0032587C"/>
    <w:rsid w:val="00325A53"/>
    <w:rsid w:val="0032642D"/>
    <w:rsid w:val="00327142"/>
    <w:rsid w:val="00327A01"/>
    <w:rsid w:val="00327D18"/>
    <w:rsid w:val="0033051E"/>
    <w:rsid w:val="00330B08"/>
    <w:rsid w:val="00330EBC"/>
    <w:rsid w:val="00330F88"/>
    <w:rsid w:val="00331AD3"/>
    <w:rsid w:val="00332420"/>
    <w:rsid w:val="0033248A"/>
    <w:rsid w:val="00332579"/>
    <w:rsid w:val="00332A08"/>
    <w:rsid w:val="00333204"/>
    <w:rsid w:val="0033381C"/>
    <w:rsid w:val="00333BC7"/>
    <w:rsid w:val="00333F81"/>
    <w:rsid w:val="0033447F"/>
    <w:rsid w:val="00334D61"/>
    <w:rsid w:val="003362AB"/>
    <w:rsid w:val="00336565"/>
    <w:rsid w:val="0033699F"/>
    <w:rsid w:val="003370AB"/>
    <w:rsid w:val="00337584"/>
    <w:rsid w:val="00337A0C"/>
    <w:rsid w:val="00337E5D"/>
    <w:rsid w:val="0034072D"/>
    <w:rsid w:val="003411E4"/>
    <w:rsid w:val="00341360"/>
    <w:rsid w:val="003421CE"/>
    <w:rsid w:val="003424F3"/>
    <w:rsid w:val="00342B9B"/>
    <w:rsid w:val="003434A6"/>
    <w:rsid w:val="00343D62"/>
    <w:rsid w:val="00343F84"/>
    <w:rsid w:val="00344191"/>
    <w:rsid w:val="003449D9"/>
    <w:rsid w:val="00345E6C"/>
    <w:rsid w:val="00346394"/>
    <w:rsid w:val="00346524"/>
    <w:rsid w:val="00346559"/>
    <w:rsid w:val="003470EE"/>
    <w:rsid w:val="0034732F"/>
    <w:rsid w:val="0034747C"/>
    <w:rsid w:val="003476E0"/>
    <w:rsid w:val="00347D17"/>
    <w:rsid w:val="0035076F"/>
    <w:rsid w:val="003509C7"/>
    <w:rsid w:val="0035104F"/>
    <w:rsid w:val="00351554"/>
    <w:rsid w:val="0035181C"/>
    <w:rsid w:val="00351CD6"/>
    <w:rsid w:val="00351FEE"/>
    <w:rsid w:val="0035342D"/>
    <w:rsid w:val="00353D94"/>
    <w:rsid w:val="00353E62"/>
    <w:rsid w:val="00353EF6"/>
    <w:rsid w:val="00354132"/>
    <w:rsid w:val="003545C4"/>
    <w:rsid w:val="00354640"/>
    <w:rsid w:val="00354865"/>
    <w:rsid w:val="0035496D"/>
    <w:rsid w:val="00354CDC"/>
    <w:rsid w:val="00354E5D"/>
    <w:rsid w:val="00355AD5"/>
    <w:rsid w:val="003562FF"/>
    <w:rsid w:val="00356390"/>
    <w:rsid w:val="0035695A"/>
    <w:rsid w:val="003569C5"/>
    <w:rsid w:val="00356D88"/>
    <w:rsid w:val="00356E92"/>
    <w:rsid w:val="00356EDF"/>
    <w:rsid w:val="0035770D"/>
    <w:rsid w:val="0035797A"/>
    <w:rsid w:val="00357BAE"/>
    <w:rsid w:val="00357D18"/>
    <w:rsid w:val="00360146"/>
    <w:rsid w:val="003604AE"/>
    <w:rsid w:val="0036084A"/>
    <w:rsid w:val="00360BFB"/>
    <w:rsid w:val="00360DCA"/>
    <w:rsid w:val="003618E1"/>
    <w:rsid w:val="00361ACA"/>
    <w:rsid w:val="00362723"/>
    <w:rsid w:val="0036278A"/>
    <w:rsid w:val="00363003"/>
    <w:rsid w:val="003630FB"/>
    <w:rsid w:val="00363562"/>
    <w:rsid w:val="00363940"/>
    <w:rsid w:val="0036415D"/>
    <w:rsid w:val="00364B6D"/>
    <w:rsid w:val="00364BCF"/>
    <w:rsid w:val="0036531B"/>
    <w:rsid w:val="00365975"/>
    <w:rsid w:val="00365E08"/>
    <w:rsid w:val="00365E71"/>
    <w:rsid w:val="00366311"/>
    <w:rsid w:val="003667A6"/>
    <w:rsid w:val="00366CF1"/>
    <w:rsid w:val="00367E2D"/>
    <w:rsid w:val="00367E87"/>
    <w:rsid w:val="00370205"/>
    <w:rsid w:val="003704B4"/>
    <w:rsid w:val="00370AF9"/>
    <w:rsid w:val="00371137"/>
    <w:rsid w:val="0037133B"/>
    <w:rsid w:val="003719E6"/>
    <w:rsid w:val="00371E9F"/>
    <w:rsid w:val="0037289D"/>
    <w:rsid w:val="0037302D"/>
    <w:rsid w:val="003731CC"/>
    <w:rsid w:val="003731F2"/>
    <w:rsid w:val="00373770"/>
    <w:rsid w:val="00373B6C"/>
    <w:rsid w:val="0037493A"/>
    <w:rsid w:val="00374DA6"/>
    <w:rsid w:val="00376A9F"/>
    <w:rsid w:val="00376FA8"/>
    <w:rsid w:val="0037738B"/>
    <w:rsid w:val="00377601"/>
    <w:rsid w:val="00377625"/>
    <w:rsid w:val="00377761"/>
    <w:rsid w:val="003777A6"/>
    <w:rsid w:val="00377E3F"/>
    <w:rsid w:val="00380899"/>
    <w:rsid w:val="00380E4A"/>
    <w:rsid w:val="003813E8"/>
    <w:rsid w:val="003817FA"/>
    <w:rsid w:val="00381B24"/>
    <w:rsid w:val="00381EBE"/>
    <w:rsid w:val="00381FB5"/>
    <w:rsid w:val="00382588"/>
    <w:rsid w:val="00382899"/>
    <w:rsid w:val="0038297F"/>
    <w:rsid w:val="00382C7E"/>
    <w:rsid w:val="0038335D"/>
    <w:rsid w:val="00383E50"/>
    <w:rsid w:val="00383F21"/>
    <w:rsid w:val="00384090"/>
    <w:rsid w:val="00384DD0"/>
    <w:rsid w:val="00384E55"/>
    <w:rsid w:val="00385093"/>
    <w:rsid w:val="003857A6"/>
    <w:rsid w:val="00385956"/>
    <w:rsid w:val="00385AAB"/>
    <w:rsid w:val="00385DBC"/>
    <w:rsid w:val="00385F9B"/>
    <w:rsid w:val="00386148"/>
    <w:rsid w:val="003868A9"/>
    <w:rsid w:val="00386E3C"/>
    <w:rsid w:val="003879B0"/>
    <w:rsid w:val="00387E6D"/>
    <w:rsid w:val="00390749"/>
    <w:rsid w:val="00390940"/>
    <w:rsid w:val="003909F3"/>
    <w:rsid w:val="00391179"/>
    <w:rsid w:val="00391B32"/>
    <w:rsid w:val="00391D66"/>
    <w:rsid w:val="0039235B"/>
    <w:rsid w:val="0039265D"/>
    <w:rsid w:val="00393352"/>
    <w:rsid w:val="00393607"/>
    <w:rsid w:val="00393797"/>
    <w:rsid w:val="003944AA"/>
    <w:rsid w:val="00395029"/>
    <w:rsid w:val="00395202"/>
    <w:rsid w:val="00395471"/>
    <w:rsid w:val="00395863"/>
    <w:rsid w:val="003958A5"/>
    <w:rsid w:val="003960D9"/>
    <w:rsid w:val="003961A1"/>
    <w:rsid w:val="003969ED"/>
    <w:rsid w:val="00396C03"/>
    <w:rsid w:val="00397030"/>
    <w:rsid w:val="003974A5"/>
    <w:rsid w:val="003974AB"/>
    <w:rsid w:val="003978DE"/>
    <w:rsid w:val="00397944"/>
    <w:rsid w:val="00397995"/>
    <w:rsid w:val="00397FF8"/>
    <w:rsid w:val="003A07B6"/>
    <w:rsid w:val="003A07ED"/>
    <w:rsid w:val="003A0809"/>
    <w:rsid w:val="003A110B"/>
    <w:rsid w:val="003A128E"/>
    <w:rsid w:val="003A1DAB"/>
    <w:rsid w:val="003A23DC"/>
    <w:rsid w:val="003A244B"/>
    <w:rsid w:val="003A2A5C"/>
    <w:rsid w:val="003A2B6B"/>
    <w:rsid w:val="003A2D3E"/>
    <w:rsid w:val="003A3C33"/>
    <w:rsid w:val="003A3D6F"/>
    <w:rsid w:val="003A3DAD"/>
    <w:rsid w:val="003A3FCF"/>
    <w:rsid w:val="003A4691"/>
    <w:rsid w:val="003A4B9D"/>
    <w:rsid w:val="003A4C16"/>
    <w:rsid w:val="003A5056"/>
    <w:rsid w:val="003A5140"/>
    <w:rsid w:val="003A5980"/>
    <w:rsid w:val="003A5FD2"/>
    <w:rsid w:val="003A6530"/>
    <w:rsid w:val="003A6A58"/>
    <w:rsid w:val="003A766F"/>
    <w:rsid w:val="003A76C6"/>
    <w:rsid w:val="003A7E7A"/>
    <w:rsid w:val="003A7F3F"/>
    <w:rsid w:val="003B0255"/>
    <w:rsid w:val="003B0E83"/>
    <w:rsid w:val="003B0E93"/>
    <w:rsid w:val="003B229E"/>
    <w:rsid w:val="003B26C7"/>
    <w:rsid w:val="003B2B12"/>
    <w:rsid w:val="003B2D2B"/>
    <w:rsid w:val="003B2F7B"/>
    <w:rsid w:val="003B31D2"/>
    <w:rsid w:val="003B35C8"/>
    <w:rsid w:val="003B3918"/>
    <w:rsid w:val="003B3E0A"/>
    <w:rsid w:val="003B48AE"/>
    <w:rsid w:val="003B4B22"/>
    <w:rsid w:val="003B53A8"/>
    <w:rsid w:val="003B549B"/>
    <w:rsid w:val="003B65A4"/>
    <w:rsid w:val="003B7824"/>
    <w:rsid w:val="003B79A3"/>
    <w:rsid w:val="003B79F2"/>
    <w:rsid w:val="003B7A79"/>
    <w:rsid w:val="003B7C83"/>
    <w:rsid w:val="003B7EE0"/>
    <w:rsid w:val="003C0B0B"/>
    <w:rsid w:val="003C0B56"/>
    <w:rsid w:val="003C0F78"/>
    <w:rsid w:val="003C20FF"/>
    <w:rsid w:val="003C25D1"/>
    <w:rsid w:val="003C28D7"/>
    <w:rsid w:val="003C2D0A"/>
    <w:rsid w:val="003C3174"/>
    <w:rsid w:val="003C331B"/>
    <w:rsid w:val="003C33A5"/>
    <w:rsid w:val="003C3E95"/>
    <w:rsid w:val="003C3FF9"/>
    <w:rsid w:val="003C4EC9"/>
    <w:rsid w:val="003C50D3"/>
    <w:rsid w:val="003C57F1"/>
    <w:rsid w:val="003C5A7D"/>
    <w:rsid w:val="003C5AFC"/>
    <w:rsid w:val="003C5F1A"/>
    <w:rsid w:val="003C65F8"/>
    <w:rsid w:val="003C69B5"/>
    <w:rsid w:val="003C6D91"/>
    <w:rsid w:val="003C6F27"/>
    <w:rsid w:val="003C701C"/>
    <w:rsid w:val="003C7BE9"/>
    <w:rsid w:val="003C7BEF"/>
    <w:rsid w:val="003D0160"/>
    <w:rsid w:val="003D104E"/>
    <w:rsid w:val="003D11B1"/>
    <w:rsid w:val="003D15D3"/>
    <w:rsid w:val="003D1AB2"/>
    <w:rsid w:val="003D1F53"/>
    <w:rsid w:val="003D2F4A"/>
    <w:rsid w:val="003D316C"/>
    <w:rsid w:val="003D31DE"/>
    <w:rsid w:val="003D35D1"/>
    <w:rsid w:val="003D375F"/>
    <w:rsid w:val="003D39CE"/>
    <w:rsid w:val="003D4036"/>
    <w:rsid w:val="003D54AC"/>
    <w:rsid w:val="003D592A"/>
    <w:rsid w:val="003D5CD7"/>
    <w:rsid w:val="003D60AD"/>
    <w:rsid w:val="003D615C"/>
    <w:rsid w:val="003D697B"/>
    <w:rsid w:val="003D6A07"/>
    <w:rsid w:val="003D6D73"/>
    <w:rsid w:val="003D7075"/>
    <w:rsid w:val="003D733F"/>
    <w:rsid w:val="003D7348"/>
    <w:rsid w:val="003D73D5"/>
    <w:rsid w:val="003D7471"/>
    <w:rsid w:val="003D7908"/>
    <w:rsid w:val="003D7B61"/>
    <w:rsid w:val="003D7E61"/>
    <w:rsid w:val="003E0018"/>
    <w:rsid w:val="003E0415"/>
    <w:rsid w:val="003E06A0"/>
    <w:rsid w:val="003E081D"/>
    <w:rsid w:val="003E0D41"/>
    <w:rsid w:val="003E0FC5"/>
    <w:rsid w:val="003E1868"/>
    <w:rsid w:val="003E1D3F"/>
    <w:rsid w:val="003E2054"/>
    <w:rsid w:val="003E20B8"/>
    <w:rsid w:val="003E2943"/>
    <w:rsid w:val="003E2E2B"/>
    <w:rsid w:val="003E3758"/>
    <w:rsid w:val="003E3798"/>
    <w:rsid w:val="003E3E1B"/>
    <w:rsid w:val="003E4580"/>
    <w:rsid w:val="003E50BB"/>
    <w:rsid w:val="003E538A"/>
    <w:rsid w:val="003E548E"/>
    <w:rsid w:val="003E5813"/>
    <w:rsid w:val="003E6070"/>
    <w:rsid w:val="003E65A0"/>
    <w:rsid w:val="003E6A5B"/>
    <w:rsid w:val="003E6EAF"/>
    <w:rsid w:val="003E74E4"/>
    <w:rsid w:val="003E7AC8"/>
    <w:rsid w:val="003E7DA7"/>
    <w:rsid w:val="003F0338"/>
    <w:rsid w:val="003F0371"/>
    <w:rsid w:val="003F0805"/>
    <w:rsid w:val="003F0F02"/>
    <w:rsid w:val="003F1785"/>
    <w:rsid w:val="003F1DC7"/>
    <w:rsid w:val="003F1F0F"/>
    <w:rsid w:val="003F25C3"/>
    <w:rsid w:val="003F270B"/>
    <w:rsid w:val="003F2B95"/>
    <w:rsid w:val="003F30A7"/>
    <w:rsid w:val="003F330D"/>
    <w:rsid w:val="003F36AF"/>
    <w:rsid w:val="003F3FF4"/>
    <w:rsid w:val="003F4A58"/>
    <w:rsid w:val="003F4F51"/>
    <w:rsid w:val="003F4FA7"/>
    <w:rsid w:val="003F50ED"/>
    <w:rsid w:val="003F5EDD"/>
    <w:rsid w:val="003F6421"/>
    <w:rsid w:val="003F642C"/>
    <w:rsid w:val="003F67D7"/>
    <w:rsid w:val="003F6A2E"/>
    <w:rsid w:val="003F6E66"/>
    <w:rsid w:val="003F6EFA"/>
    <w:rsid w:val="003F6FF4"/>
    <w:rsid w:val="003F78C3"/>
    <w:rsid w:val="00400011"/>
    <w:rsid w:val="00400786"/>
    <w:rsid w:val="00400E0C"/>
    <w:rsid w:val="00400E53"/>
    <w:rsid w:val="00401196"/>
    <w:rsid w:val="0040139A"/>
    <w:rsid w:val="004015C3"/>
    <w:rsid w:val="004018F5"/>
    <w:rsid w:val="00402873"/>
    <w:rsid w:val="00402E11"/>
    <w:rsid w:val="00402EE1"/>
    <w:rsid w:val="004034BB"/>
    <w:rsid w:val="00403840"/>
    <w:rsid w:val="004043E0"/>
    <w:rsid w:val="004045B7"/>
    <w:rsid w:val="0040545D"/>
    <w:rsid w:val="004056D8"/>
    <w:rsid w:val="00405B95"/>
    <w:rsid w:val="00406B36"/>
    <w:rsid w:val="004074DD"/>
    <w:rsid w:val="00407A6E"/>
    <w:rsid w:val="004103E7"/>
    <w:rsid w:val="004106F8"/>
    <w:rsid w:val="00410DD0"/>
    <w:rsid w:val="00411319"/>
    <w:rsid w:val="00411F39"/>
    <w:rsid w:val="00412184"/>
    <w:rsid w:val="004121CC"/>
    <w:rsid w:val="00412542"/>
    <w:rsid w:val="00412A9B"/>
    <w:rsid w:val="00412D5E"/>
    <w:rsid w:val="00412E30"/>
    <w:rsid w:val="004132DD"/>
    <w:rsid w:val="00413903"/>
    <w:rsid w:val="004139F6"/>
    <w:rsid w:val="00413A0E"/>
    <w:rsid w:val="00413B1A"/>
    <w:rsid w:val="00413E17"/>
    <w:rsid w:val="004142C6"/>
    <w:rsid w:val="00414E73"/>
    <w:rsid w:val="00415373"/>
    <w:rsid w:val="00415C82"/>
    <w:rsid w:val="00415E27"/>
    <w:rsid w:val="004160E7"/>
    <w:rsid w:val="00416215"/>
    <w:rsid w:val="00416932"/>
    <w:rsid w:val="004170CF"/>
    <w:rsid w:val="004170DE"/>
    <w:rsid w:val="004176FF"/>
    <w:rsid w:val="0041783B"/>
    <w:rsid w:val="004203EE"/>
    <w:rsid w:val="004205CC"/>
    <w:rsid w:val="00421025"/>
    <w:rsid w:val="004210E6"/>
    <w:rsid w:val="0042144D"/>
    <w:rsid w:val="00421554"/>
    <w:rsid w:val="004216FE"/>
    <w:rsid w:val="00422719"/>
    <w:rsid w:val="00422AEB"/>
    <w:rsid w:val="00422FA6"/>
    <w:rsid w:val="00423688"/>
    <w:rsid w:val="0042470E"/>
    <w:rsid w:val="004249E2"/>
    <w:rsid w:val="00424C76"/>
    <w:rsid w:val="00424FCA"/>
    <w:rsid w:val="00425BDB"/>
    <w:rsid w:val="004268BA"/>
    <w:rsid w:val="0042749C"/>
    <w:rsid w:val="004278DE"/>
    <w:rsid w:val="0042799B"/>
    <w:rsid w:val="00427A51"/>
    <w:rsid w:val="0043005B"/>
    <w:rsid w:val="004302D9"/>
    <w:rsid w:val="0043080A"/>
    <w:rsid w:val="00430E1E"/>
    <w:rsid w:val="00430F8F"/>
    <w:rsid w:val="004310C2"/>
    <w:rsid w:val="004316A3"/>
    <w:rsid w:val="0043179C"/>
    <w:rsid w:val="00431A01"/>
    <w:rsid w:val="00431B90"/>
    <w:rsid w:val="00431D2E"/>
    <w:rsid w:val="00431EAB"/>
    <w:rsid w:val="004329C1"/>
    <w:rsid w:val="00432A65"/>
    <w:rsid w:val="0043321D"/>
    <w:rsid w:val="00433388"/>
    <w:rsid w:val="0043345B"/>
    <w:rsid w:val="004334DE"/>
    <w:rsid w:val="0043385D"/>
    <w:rsid w:val="00434D66"/>
    <w:rsid w:val="004350CB"/>
    <w:rsid w:val="0043638A"/>
    <w:rsid w:val="00436838"/>
    <w:rsid w:val="00436D16"/>
    <w:rsid w:val="00437326"/>
    <w:rsid w:val="004376C6"/>
    <w:rsid w:val="00437717"/>
    <w:rsid w:val="00437BE4"/>
    <w:rsid w:val="00437C12"/>
    <w:rsid w:val="00437DF7"/>
    <w:rsid w:val="00440189"/>
    <w:rsid w:val="0044046C"/>
    <w:rsid w:val="0044068E"/>
    <w:rsid w:val="0044115B"/>
    <w:rsid w:val="004413EE"/>
    <w:rsid w:val="00441DF8"/>
    <w:rsid w:val="0044246A"/>
    <w:rsid w:val="00442C09"/>
    <w:rsid w:val="00442CB3"/>
    <w:rsid w:val="00442D61"/>
    <w:rsid w:val="00442F6E"/>
    <w:rsid w:val="00442F94"/>
    <w:rsid w:val="004436A5"/>
    <w:rsid w:val="00443905"/>
    <w:rsid w:val="00443989"/>
    <w:rsid w:val="00444283"/>
    <w:rsid w:val="0044471D"/>
    <w:rsid w:val="00445547"/>
    <w:rsid w:val="00445597"/>
    <w:rsid w:val="004464BE"/>
    <w:rsid w:val="004464FD"/>
    <w:rsid w:val="004466C7"/>
    <w:rsid w:val="00446770"/>
    <w:rsid w:val="004468A6"/>
    <w:rsid w:val="00446D58"/>
    <w:rsid w:val="0044709F"/>
    <w:rsid w:val="0045010D"/>
    <w:rsid w:val="004503B8"/>
    <w:rsid w:val="004507B3"/>
    <w:rsid w:val="004507FC"/>
    <w:rsid w:val="00450CF0"/>
    <w:rsid w:val="0045108C"/>
    <w:rsid w:val="00451712"/>
    <w:rsid w:val="004518A7"/>
    <w:rsid w:val="004523DC"/>
    <w:rsid w:val="00453196"/>
    <w:rsid w:val="00453309"/>
    <w:rsid w:val="0045368D"/>
    <w:rsid w:val="00453E84"/>
    <w:rsid w:val="0045466F"/>
    <w:rsid w:val="00454745"/>
    <w:rsid w:val="00454A74"/>
    <w:rsid w:val="00454C29"/>
    <w:rsid w:val="0045538C"/>
    <w:rsid w:val="00456131"/>
    <w:rsid w:val="004562C7"/>
    <w:rsid w:val="00456FDD"/>
    <w:rsid w:val="00457010"/>
    <w:rsid w:val="004578E6"/>
    <w:rsid w:val="0046023E"/>
    <w:rsid w:val="00460676"/>
    <w:rsid w:val="00463080"/>
    <w:rsid w:val="0046324D"/>
    <w:rsid w:val="004634D9"/>
    <w:rsid w:val="0046354C"/>
    <w:rsid w:val="0046384C"/>
    <w:rsid w:val="00463CB9"/>
    <w:rsid w:val="00463CCA"/>
    <w:rsid w:val="00464036"/>
    <w:rsid w:val="00464C40"/>
    <w:rsid w:val="00465990"/>
    <w:rsid w:val="004659B5"/>
    <w:rsid w:val="00465D55"/>
    <w:rsid w:val="00465E72"/>
    <w:rsid w:val="0046635B"/>
    <w:rsid w:val="00466636"/>
    <w:rsid w:val="00466817"/>
    <w:rsid w:val="00466E2E"/>
    <w:rsid w:val="0046735B"/>
    <w:rsid w:val="00470055"/>
    <w:rsid w:val="004700F5"/>
    <w:rsid w:val="004706EE"/>
    <w:rsid w:val="004708B3"/>
    <w:rsid w:val="00472230"/>
    <w:rsid w:val="00472413"/>
    <w:rsid w:val="00472CC6"/>
    <w:rsid w:val="00472E0E"/>
    <w:rsid w:val="004731B7"/>
    <w:rsid w:val="0047341A"/>
    <w:rsid w:val="00474033"/>
    <w:rsid w:val="00474161"/>
    <w:rsid w:val="00474D4C"/>
    <w:rsid w:val="00475526"/>
    <w:rsid w:val="00475691"/>
    <w:rsid w:val="004760C7"/>
    <w:rsid w:val="004761F3"/>
    <w:rsid w:val="004762D0"/>
    <w:rsid w:val="004766BA"/>
    <w:rsid w:val="00476AB9"/>
    <w:rsid w:val="00476DA2"/>
    <w:rsid w:val="0047796D"/>
    <w:rsid w:val="00480596"/>
    <w:rsid w:val="00480B0D"/>
    <w:rsid w:val="00480C3D"/>
    <w:rsid w:val="004818A8"/>
    <w:rsid w:val="00481E33"/>
    <w:rsid w:val="00481E95"/>
    <w:rsid w:val="004828CE"/>
    <w:rsid w:val="00482A4F"/>
    <w:rsid w:val="00482B1C"/>
    <w:rsid w:val="00482C0D"/>
    <w:rsid w:val="00483155"/>
    <w:rsid w:val="004835A5"/>
    <w:rsid w:val="004839A4"/>
    <w:rsid w:val="00483AC1"/>
    <w:rsid w:val="00483D0A"/>
    <w:rsid w:val="00483FC3"/>
    <w:rsid w:val="004843C0"/>
    <w:rsid w:val="0048564B"/>
    <w:rsid w:val="0048578C"/>
    <w:rsid w:val="00485A85"/>
    <w:rsid w:val="00485DC9"/>
    <w:rsid w:val="0048601A"/>
    <w:rsid w:val="00486E82"/>
    <w:rsid w:val="00486F23"/>
    <w:rsid w:val="004873F6"/>
    <w:rsid w:val="00487769"/>
    <w:rsid w:val="00487785"/>
    <w:rsid w:val="00487CE7"/>
    <w:rsid w:val="00487D9B"/>
    <w:rsid w:val="004905AE"/>
    <w:rsid w:val="00490706"/>
    <w:rsid w:val="00490AF6"/>
    <w:rsid w:val="00490C78"/>
    <w:rsid w:val="00490E93"/>
    <w:rsid w:val="004918A8"/>
    <w:rsid w:val="004925AA"/>
    <w:rsid w:val="0049264F"/>
    <w:rsid w:val="00492EFE"/>
    <w:rsid w:val="00493E00"/>
    <w:rsid w:val="004947BB"/>
    <w:rsid w:val="00494FDF"/>
    <w:rsid w:val="004952BC"/>
    <w:rsid w:val="00495E14"/>
    <w:rsid w:val="004962BA"/>
    <w:rsid w:val="0049655C"/>
    <w:rsid w:val="00496C4C"/>
    <w:rsid w:val="00496C50"/>
    <w:rsid w:val="00496FCB"/>
    <w:rsid w:val="00497005"/>
    <w:rsid w:val="00497465"/>
    <w:rsid w:val="004A0148"/>
    <w:rsid w:val="004A04D5"/>
    <w:rsid w:val="004A0762"/>
    <w:rsid w:val="004A0931"/>
    <w:rsid w:val="004A2E8A"/>
    <w:rsid w:val="004A2EC8"/>
    <w:rsid w:val="004A3322"/>
    <w:rsid w:val="004A33C1"/>
    <w:rsid w:val="004A374D"/>
    <w:rsid w:val="004A385F"/>
    <w:rsid w:val="004A40F6"/>
    <w:rsid w:val="004A4CBF"/>
    <w:rsid w:val="004A5009"/>
    <w:rsid w:val="004A5412"/>
    <w:rsid w:val="004A59F1"/>
    <w:rsid w:val="004A6FA7"/>
    <w:rsid w:val="004A7616"/>
    <w:rsid w:val="004A7BEE"/>
    <w:rsid w:val="004A7C84"/>
    <w:rsid w:val="004A7DE6"/>
    <w:rsid w:val="004B172A"/>
    <w:rsid w:val="004B1BA5"/>
    <w:rsid w:val="004B24EC"/>
    <w:rsid w:val="004B2789"/>
    <w:rsid w:val="004B2B30"/>
    <w:rsid w:val="004B2B77"/>
    <w:rsid w:val="004B2C2A"/>
    <w:rsid w:val="004B2EAF"/>
    <w:rsid w:val="004B34B5"/>
    <w:rsid w:val="004B3528"/>
    <w:rsid w:val="004B3BB1"/>
    <w:rsid w:val="004B3E28"/>
    <w:rsid w:val="004B3FD5"/>
    <w:rsid w:val="004B4C9E"/>
    <w:rsid w:val="004B50D6"/>
    <w:rsid w:val="004B5274"/>
    <w:rsid w:val="004B553B"/>
    <w:rsid w:val="004B602B"/>
    <w:rsid w:val="004B61B3"/>
    <w:rsid w:val="004B687C"/>
    <w:rsid w:val="004B6B79"/>
    <w:rsid w:val="004B7250"/>
    <w:rsid w:val="004B7332"/>
    <w:rsid w:val="004B79C1"/>
    <w:rsid w:val="004B7BA4"/>
    <w:rsid w:val="004C07A0"/>
    <w:rsid w:val="004C0A00"/>
    <w:rsid w:val="004C0D36"/>
    <w:rsid w:val="004C0E7C"/>
    <w:rsid w:val="004C0F63"/>
    <w:rsid w:val="004C1709"/>
    <w:rsid w:val="004C231A"/>
    <w:rsid w:val="004C2C9C"/>
    <w:rsid w:val="004C32F9"/>
    <w:rsid w:val="004C363B"/>
    <w:rsid w:val="004C3CC4"/>
    <w:rsid w:val="004C3E59"/>
    <w:rsid w:val="004C530B"/>
    <w:rsid w:val="004C54CE"/>
    <w:rsid w:val="004C5883"/>
    <w:rsid w:val="004C5D2C"/>
    <w:rsid w:val="004C65C9"/>
    <w:rsid w:val="004C7A6B"/>
    <w:rsid w:val="004D006C"/>
    <w:rsid w:val="004D0100"/>
    <w:rsid w:val="004D0123"/>
    <w:rsid w:val="004D0386"/>
    <w:rsid w:val="004D04A9"/>
    <w:rsid w:val="004D0929"/>
    <w:rsid w:val="004D0C0D"/>
    <w:rsid w:val="004D0F38"/>
    <w:rsid w:val="004D1403"/>
    <w:rsid w:val="004D1AF9"/>
    <w:rsid w:val="004D1CF1"/>
    <w:rsid w:val="004D1D13"/>
    <w:rsid w:val="004D2070"/>
    <w:rsid w:val="004D2867"/>
    <w:rsid w:val="004D28BA"/>
    <w:rsid w:val="004D2D07"/>
    <w:rsid w:val="004D30D6"/>
    <w:rsid w:val="004D35AB"/>
    <w:rsid w:val="004D3D8D"/>
    <w:rsid w:val="004D4BF7"/>
    <w:rsid w:val="004D511A"/>
    <w:rsid w:val="004D590D"/>
    <w:rsid w:val="004D59EB"/>
    <w:rsid w:val="004D5B15"/>
    <w:rsid w:val="004D5E7F"/>
    <w:rsid w:val="004D6376"/>
    <w:rsid w:val="004D6CEE"/>
    <w:rsid w:val="004D6EE9"/>
    <w:rsid w:val="004D7BE6"/>
    <w:rsid w:val="004D7C0E"/>
    <w:rsid w:val="004D7F7A"/>
    <w:rsid w:val="004D7FFD"/>
    <w:rsid w:val="004E004E"/>
    <w:rsid w:val="004E0C3A"/>
    <w:rsid w:val="004E101E"/>
    <w:rsid w:val="004E15CC"/>
    <w:rsid w:val="004E1C6D"/>
    <w:rsid w:val="004E1DB9"/>
    <w:rsid w:val="004E2011"/>
    <w:rsid w:val="004E2090"/>
    <w:rsid w:val="004E276F"/>
    <w:rsid w:val="004E3B87"/>
    <w:rsid w:val="004E3E53"/>
    <w:rsid w:val="004E3FA8"/>
    <w:rsid w:val="004E4544"/>
    <w:rsid w:val="004E4B68"/>
    <w:rsid w:val="004E5044"/>
    <w:rsid w:val="004E6547"/>
    <w:rsid w:val="004E6BF9"/>
    <w:rsid w:val="004E6C40"/>
    <w:rsid w:val="004E6DCF"/>
    <w:rsid w:val="004E7149"/>
    <w:rsid w:val="004E747F"/>
    <w:rsid w:val="004E7AF6"/>
    <w:rsid w:val="004F049E"/>
    <w:rsid w:val="004F082C"/>
    <w:rsid w:val="004F0AAC"/>
    <w:rsid w:val="004F11E0"/>
    <w:rsid w:val="004F169C"/>
    <w:rsid w:val="004F17F3"/>
    <w:rsid w:val="004F23C7"/>
    <w:rsid w:val="004F23E8"/>
    <w:rsid w:val="004F2A0C"/>
    <w:rsid w:val="004F2CB2"/>
    <w:rsid w:val="004F3A16"/>
    <w:rsid w:val="004F3B33"/>
    <w:rsid w:val="004F3F21"/>
    <w:rsid w:val="004F406A"/>
    <w:rsid w:val="004F407A"/>
    <w:rsid w:val="004F4FFD"/>
    <w:rsid w:val="004F6488"/>
    <w:rsid w:val="004F6B03"/>
    <w:rsid w:val="004F70A3"/>
    <w:rsid w:val="004F70AF"/>
    <w:rsid w:val="004F7623"/>
    <w:rsid w:val="004F76C6"/>
    <w:rsid w:val="004F77F1"/>
    <w:rsid w:val="004F788D"/>
    <w:rsid w:val="004F7C2E"/>
    <w:rsid w:val="004F7FF3"/>
    <w:rsid w:val="005000DE"/>
    <w:rsid w:val="005002BE"/>
    <w:rsid w:val="00500378"/>
    <w:rsid w:val="005006E2"/>
    <w:rsid w:val="00500A15"/>
    <w:rsid w:val="00501791"/>
    <w:rsid w:val="0050180A"/>
    <w:rsid w:val="0050227C"/>
    <w:rsid w:val="00502432"/>
    <w:rsid w:val="00502880"/>
    <w:rsid w:val="00502FB8"/>
    <w:rsid w:val="00503696"/>
    <w:rsid w:val="00503B74"/>
    <w:rsid w:val="00503FAB"/>
    <w:rsid w:val="0050427B"/>
    <w:rsid w:val="00504636"/>
    <w:rsid w:val="00504F81"/>
    <w:rsid w:val="005052B8"/>
    <w:rsid w:val="0050572C"/>
    <w:rsid w:val="00505A06"/>
    <w:rsid w:val="00505BFD"/>
    <w:rsid w:val="00505C20"/>
    <w:rsid w:val="00505F0B"/>
    <w:rsid w:val="00506386"/>
    <w:rsid w:val="0050649B"/>
    <w:rsid w:val="00506F16"/>
    <w:rsid w:val="00507045"/>
    <w:rsid w:val="005070DA"/>
    <w:rsid w:val="0050728E"/>
    <w:rsid w:val="005072F7"/>
    <w:rsid w:val="005074A0"/>
    <w:rsid w:val="00507A3D"/>
    <w:rsid w:val="0051005C"/>
    <w:rsid w:val="00510949"/>
    <w:rsid w:val="00510F93"/>
    <w:rsid w:val="0051126C"/>
    <w:rsid w:val="0051134D"/>
    <w:rsid w:val="00511B38"/>
    <w:rsid w:val="00511B84"/>
    <w:rsid w:val="0051221D"/>
    <w:rsid w:val="00512CD0"/>
    <w:rsid w:val="00512D75"/>
    <w:rsid w:val="0051315B"/>
    <w:rsid w:val="0051364D"/>
    <w:rsid w:val="00513724"/>
    <w:rsid w:val="00513AC3"/>
    <w:rsid w:val="0051427B"/>
    <w:rsid w:val="00514966"/>
    <w:rsid w:val="00514D42"/>
    <w:rsid w:val="00514E68"/>
    <w:rsid w:val="0051502F"/>
    <w:rsid w:val="005150EE"/>
    <w:rsid w:val="005151DB"/>
    <w:rsid w:val="0051651D"/>
    <w:rsid w:val="00516985"/>
    <w:rsid w:val="00516A4E"/>
    <w:rsid w:val="00516CEB"/>
    <w:rsid w:val="00517AF9"/>
    <w:rsid w:val="00517BE6"/>
    <w:rsid w:val="00517E4E"/>
    <w:rsid w:val="00517F75"/>
    <w:rsid w:val="00520002"/>
    <w:rsid w:val="00520488"/>
    <w:rsid w:val="0052049E"/>
    <w:rsid w:val="00520F76"/>
    <w:rsid w:val="0052123C"/>
    <w:rsid w:val="00521341"/>
    <w:rsid w:val="0052137A"/>
    <w:rsid w:val="005213EA"/>
    <w:rsid w:val="0052188B"/>
    <w:rsid w:val="00522757"/>
    <w:rsid w:val="005237BF"/>
    <w:rsid w:val="00523A38"/>
    <w:rsid w:val="005241EB"/>
    <w:rsid w:val="00524221"/>
    <w:rsid w:val="0052431E"/>
    <w:rsid w:val="005244F7"/>
    <w:rsid w:val="0052507A"/>
    <w:rsid w:val="00525D92"/>
    <w:rsid w:val="0052653F"/>
    <w:rsid w:val="005266F3"/>
    <w:rsid w:val="00526E12"/>
    <w:rsid w:val="00526E72"/>
    <w:rsid w:val="005273DB"/>
    <w:rsid w:val="00527D6D"/>
    <w:rsid w:val="0053054E"/>
    <w:rsid w:val="00531243"/>
    <w:rsid w:val="005312E4"/>
    <w:rsid w:val="00531484"/>
    <w:rsid w:val="005315CF"/>
    <w:rsid w:val="00531BD9"/>
    <w:rsid w:val="00531EF5"/>
    <w:rsid w:val="00532976"/>
    <w:rsid w:val="00532AE1"/>
    <w:rsid w:val="00532B47"/>
    <w:rsid w:val="00532BE1"/>
    <w:rsid w:val="00533954"/>
    <w:rsid w:val="005339A7"/>
    <w:rsid w:val="00533EA8"/>
    <w:rsid w:val="00533EF3"/>
    <w:rsid w:val="005344D8"/>
    <w:rsid w:val="0053458A"/>
    <w:rsid w:val="00534A7E"/>
    <w:rsid w:val="00534BAF"/>
    <w:rsid w:val="00534C50"/>
    <w:rsid w:val="0053536D"/>
    <w:rsid w:val="005366FC"/>
    <w:rsid w:val="00536FB1"/>
    <w:rsid w:val="0053727F"/>
    <w:rsid w:val="00537D10"/>
    <w:rsid w:val="00537F93"/>
    <w:rsid w:val="005412CA"/>
    <w:rsid w:val="00541680"/>
    <w:rsid w:val="00541CD7"/>
    <w:rsid w:val="00542C75"/>
    <w:rsid w:val="00542CD2"/>
    <w:rsid w:val="00542F6F"/>
    <w:rsid w:val="00542F87"/>
    <w:rsid w:val="00543D28"/>
    <w:rsid w:val="005442FB"/>
    <w:rsid w:val="00544C36"/>
    <w:rsid w:val="0054536F"/>
    <w:rsid w:val="00545CB1"/>
    <w:rsid w:val="00545DD3"/>
    <w:rsid w:val="00546329"/>
    <w:rsid w:val="0054683B"/>
    <w:rsid w:val="005469B9"/>
    <w:rsid w:val="00546E16"/>
    <w:rsid w:val="00546ED9"/>
    <w:rsid w:val="00547592"/>
    <w:rsid w:val="005477FB"/>
    <w:rsid w:val="0054798F"/>
    <w:rsid w:val="005512EF"/>
    <w:rsid w:val="005514DA"/>
    <w:rsid w:val="005518C6"/>
    <w:rsid w:val="00551971"/>
    <w:rsid w:val="00551A7F"/>
    <w:rsid w:val="00553028"/>
    <w:rsid w:val="0055387A"/>
    <w:rsid w:val="00553EE2"/>
    <w:rsid w:val="00554268"/>
    <w:rsid w:val="005548C7"/>
    <w:rsid w:val="00554EBA"/>
    <w:rsid w:val="0055638B"/>
    <w:rsid w:val="005566F0"/>
    <w:rsid w:val="00556CBB"/>
    <w:rsid w:val="005576B7"/>
    <w:rsid w:val="00560037"/>
    <w:rsid w:val="00560CA7"/>
    <w:rsid w:val="00561109"/>
    <w:rsid w:val="00561203"/>
    <w:rsid w:val="00561B71"/>
    <w:rsid w:val="00561F49"/>
    <w:rsid w:val="005626AE"/>
    <w:rsid w:val="00563947"/>
    <w:rsid w:val="0056424D"/>
    <w:rsid w:val="005648C0"/>
    <w:rsid w:val="00564B1B"/>
    <w:rsid w:val="00564C4F"/>
    <w:rsid w:val="0056588E"/>
    <w:rsid w:val="005659C0"/>
    <w:rsid w:val="00565A3F"/>
    <w:rsid w:val="0056645E"/>
    <w:rsid w:val="0056671C"/>
    <w:rsid w:val="005667B2"/>
    <w:rsid w:val="005669B9"/>
    <w:rsid w:val="00566F44"/>
    <w:rsid w:val="005670AB"/>
    <w:rsid w:val="0056729D"/>
    <w:rsid w:val="005674CF"/>
    <w:rsid w:val="00567958"/>
    <w:rsid w:val="00567B05"/>
    <w:rsid w:val="00570061"/>
    <w:rsid w:val="005705BC"/>
    <w:rsid w:val="0057080D"/>
    <w:rsid w:val="00570FD8"/>
    <w:rsid w:val="0057134E"/>
    <w:rsid w:val="00571775"/>
    <w:rsid w:val="0057189E"/>
    <w:rsid w:val="00571B9F"/>
    <w:rsid w:val="005726E5"/>
    <w:rsid w:val="00572746"/>
    <w:rsid w:val="00572E1C"/>
    <w:rsid w:val="00573097"/>
    <w:rsid w:val="005732B0"/>
    <w:rsid w:val="0057373C"/>
    <w:rsid w:val="00573BD3"/>
    <w:rsid w:val="00574091"/>
    <w:rsid w:val="00574115"/>
    <w:rsid w:val="005745F2"/>
    <w:rsid w:val="00574905"/>
    <w:rsid w:val="00574DFF"/>
    <w:rsid w:val="00574F96"/>
    <w:rsid w:val="0057500C"/>
    <w:rsid w:val="00575248"/>
    <w:rsid w:val="00575556"/>
    <w:rsid w:val="00575CF7"/>
    <w:rsid w:val="005769E5"/>
    <w:rsid w:val="00576DB9"/>
    <w:rsid w:val="00576EB5"/>
    <w:rsid w:val="00580354"/>
    <w:rsid w:val="0058086C"/>
    <w:rsid w:val="005809D9"/>
    <w:rsid w:val="00581951"/>
    <w:rsid w:val="0058232B"/>
    <w:rsid w:val="00582711"/>
    <w:rsid w:val="005829B3"/>
    <w:rsid w:val="00582D1E"/>
    <w:rsid w:val="00582EAF"/>
    <w:rsid w:val="005835DC"/>
    <w:rsid w:val="005839E8"/>
    <w:rsid w:val="005841F7"/>
    <w:rsid w:val="00584592"/>
    <w:rsid w:val="0058566F"/>
    <w:rsid w:val="005857A3"/>
    <w:rsid w:val="00585D0D"/>
    <w:rsid w:val="00585FD5"/>
    <w:rsid w:val="00586404"/>
    <w:rsid w:val="00586ED3"/>
    <w:rsid w:val="00587140"/>
    <w:rsid w:val="005871FF"/>
    <w:rsid w:val="00587272"/>
    <w:rsid w:val="005879AE"/>
    <w:rsid w:val="00587E5B"/>
    <w:rsid w:val="00590430"/>
    <w:rsid w:val="005914DD"/>
    <w:rsid w:val="00592097"/>
    <w:rsid w:val="005920E8"/>
    <w:rsid w:val="00592198"/>
    <w:rsid w:val="00592645"/>
    <w:rsid w:val="00592977"/>
    <w:rsid w:val="00592F80"/>
    <w:rsid w:val="005931C0"/>
    <w:rsid w:val="005938AC"/>
    <w:rsid w:val="005939F9"/>
    <w:rsid w:val="00593DAB"/>
    <w:rsid w:val="00593DBD"/>
    <w:rsid w:val="0059471C"/>
    <w:rsid w:val="00594937"/>
    <w:rsid w:val="00594A33"/>
    <w:rsid w:val="00595394"/>
    <w:rsid w:val="00595449"/>
    <w:rsid w:val="00595B5C"/>
    <w:rsid w:val="00596644"/>
    <w:rsid w:val="00596936"/>
    <w:rsid w:val="005977A3"/>
    <w:rsid w:val="005A0067"/>
    <w:rsid w:val="005A0248"/>
    <w:rsid w:val="005A05D1"/>
    <w:rsid w:val="005A1851"/>
    <w:rsid w:val="005A1B7C"/>
    <w:rsid w:val="005A1D55"/>
    <w:rsid w:val="005A2F8D"/>
    <w:rsid w:val="005A3BDC"/>
    <w:rsid w:val="005A3E0C"/>
    <w:rsid w:val="005A4261"/>
    <w:rsid w:val="005A43E9"/>
    <w:rsid w:val="005A49B1"/>
    <w:rsid w:val="005A4B43"/>
    <w:rsid w:val="005A4BD1"/>
    <w:rsid w:val="005A4F4B"/>
    <w:rsid w:val="005A57C8"/>
    <w:rsid w:val="005A594F"/>
    <w:rsid w:val="005A650B"/>
    <w:rsid w:val="005A682C"/>
    <w:rsid w:val="005A75A0"/>
    <w:rsid w:val="005A7B0F"/>
    <w:rsid w:val="005A7B7F"/>
    <w:rsid w:val="005A7C33"/>
    <w:rsid w:val="005A7E70"/>
    <w:rsid w:val="005B01A4"/>
    <w:rsid w:val="005B06B9"/>
    <w:rsid w:val="005B06E3"/>
    <w:rsid w:val="005B0A4E"/>
    <w:rsid w:val="005B10C1"/>
    <w:rsid w:val="005B13D1"/>
    <w:rsid w:val="005B13E1"/>
    <w:rsid w:val="005B1726"/>
    <w:rsid w:val="005B2401"/>
    <w:rsid w:val="005B29CB"/>
    <w:rsid w:val="005B2E20"/>
    <w:rsid w:val="005B3967"/>
    <w:rsid w:val="005B44DB"/>
    <w:rsid w:val="005B48CE"/>
    <w:rsid w:val="005B4CBA"/>
    <w:rsid w:val="005B4E17"/>
    <w:rsid w:val="005B54D8"/>
    <w:rsid w:val="005B585D"/>
    <w:rsid w:val="005B592B"/>
    <w:rsid w:val="005B5ADC"/>
    <w:rsid w:val="005B5B4A"/>
    <w:rsid w:val="005B5CD4"/>
    <w:rsid w:val="005B5FC8"/>
    <w:rsid w:val="005B5FFF"/>
    <w:rsid w:val="005B62A3"/>
    <w:rsid w:val="005B7381"/>
    <w:rsid w:val="005B765B"/>
    <w:rsid w:val="005B783D"/>
    <w:rsid w:val="005C0134"/>
    <w:rsid w:val="005C047A"/>
    <w:rsid w:val="005C04CA"/>
    <w:rsid w:val="005C0ECA"/>
    <w:rsid w:val="005C1734"/>
    <w:rsid w:val="005C1985"/>
    <w:rsid w:val="005C2238"/>
    <w:rsid w:val="005C2273"/>
    <w:rsid w:val="005C22C5"/>
    <w:rsid w:val="005C2659"/>
    <w:rsid w:val="005C278B"/>
    <w:rsid w:val="005C2BB7"/>
    <w:rsid w:val="005C2F84"/>
    <w:rsid w:val="005C3256"/>
    <w:rsid w:val="005C40A1"/>
    <w:rsid w:val="005C43E4"/>
    <w:rsid w:val="005C4A2C"/>
    <w:rsid w:val="005C5D57"/>
    <w:rsid w:val="005C6279"/>
    <w:rsid w:val="005C6B51"/>
    <w:rsid w:val="005C7A34"/>
    <w:rsid w:val="005C7C66"/>
    <w:rsid w:val="005C7DD7"/>
    <w:rsid w:val="005D0E62"/>
    <w:rsid w:val="005D13C8"/>
    <w:rsid w:val="005D1541"/>
    <w:rsid w:val="005D1857"/>
    <w:rsid w:val="005D190E"/>
    <w:rsid w:val="005D1CEA"/>
    <w:rsid w:val="005D2263"/>
    <w:rsid w:val="005D245F"/>
    <w:rsid w:val="005D2C7A"/>
    <w:rsid w:val="005D2CEB"/>
    <w:rsid w:val="005D2D28"/>
    <w:rsid w:val="005D3BEA"/>
    <w:rsid w:val="005D3D7D"/>
    <w:rsid w:val="005D4556"/>
    <w:rsid w:val="005D4E35"/>
    <w:rsid w:val="005D5E20"/>
    <w:rsid w:val="005D5F8B"/>
    <w:rsid w:val="005D6067"/>
    <w:rsid w:val="005D6695"/>
    <w:rsid w:val="005D66C7"/>
    <w:rsid w:val="005D6C3C"/>
    <w:rsid w:val="005D6C65"/>
    <w:rsid w:val="005D6D50"/>
    <w:rsid w:val="005D7125"/>
    <w:rsid w:val="005E0130"/>
    <w:rsid w:val="005E0704"/>
    <w:rsid w:val="005E095D"/>
    <w:rsid w:val="005E0C33"/>
    <w:rsid w:val="005E0CDF"/>
    <w:rsid w:val="005E19E3"/>
    <w:rsid w:val="005E1D47"/>
    <w:rsid w:val="005E2665"/>
    <w:rsid w:val="005E28CA"/>
    <w:rsid w:val="005E3A8C"/>
    <w:rsid w:val="005E3D33"/>
    <w:rsid w:val="005E4811"/>
    <w:rsid w:val="005E4D80"/>
    <w:rsid w:val="005E50AC"/>
    <w:rsid w:val="005E52AE"/>
    <w:rsid w:val="005E563C"/>
    <w:rsid w:val="005E5740"/>
    <w:rsid w:val="005E5962"/>
    <w:rsid w:val="005E5A58"/>
    <w:rsid w:val="005E5FB6"/>
    <w:rsid w:val="005E63C1"/>
    <w:rsid w:val="005E658B"/>
    <w:rsid w:val="005E70FD"/>
    <w:rsid w:val="005E72AA"/>
    <w:rsid w:val="005E7C71"/>
    <w:rsid w:val="005E7CDC"/>
    <w:rsid w:val="005F00B4"/>
    <w:rsid w:val="005F0143"/>
    <w:rsid w:val="005F0166"/>
    <w:rsid w:val="005F01A0"/>
    <w:rsid w:val="005F04F6"/>
    <w:rsid w:val="005F066F"/>
    <w:rsid w:val="005F06B5"/>
    <w:rsid w:val="005F09D7"/>
    <w:rsid w:val="005F0F3B"/>
    <w:rsid w:val="005F11C3"/>
    <w:rsid w:val="005F12A0"/>
    <w:rsid w:val="005F1448"/>
    <w:rsid w:val="005F1B35"/>
    <w:rsid w:val="005F1C3B"/>
    <w:rsid w:val="005F1EE4"/>
    <w:rsid w:val="005F1F51"/>
    <w:rsid w:val="005F2334"/>
    <w:rsid w:val="005F2AE9"/>
    <w:rsid w:val="005F2F01"/>
    <w:rsid w:val="005F3858"/>
    <w:rsid w:val="005F3B28"/>
    <w:rsid w:val="005F43BE"/>
    <w:rsid w:val="005F4558"/>
    <w:rsid w:val="005F4EEF"/>
    <w:rsid w:val="005F5700"/>
    <w:rsid w:val="005F58AF"/>
    <w:rsid w:val="005F5C89"/>
    <w:rsid w:val="005F64D4"/>
    <w:rsid w:val="005F65BE"/>
    <w:rsid w:val="005F6CC1"/>
    <w:rsid w:val="005F7692"/>
    <w:rsid w:val="005F790A"/>
    <w:rsid w:val="005F799C"/>
    <w:rsid w:val="00600316"/>
    <w:rsid w:val="006009E9"/>
    <w:rsid w:val="00601BB9"/>
    <w:rsid w:val="0060339D"/>
    <w:rsid w:val="0060365D"/>
    <w:rsid w:val="00603747"/>
    <w:rsid w:val="00603789"/>
    <w:rsid w:val="006037F8"/>
    <w:rsid w:val="00603A27"/>
    <w:rsid w:val="00604532"/>
    <w:rsid w:val="00604629"/>
    <w:rsid w:val="006050D5"/>
    <w:rsid w:val="006055B9"/>
    <w:rsid w:val="00605E82"/>
    <w:rsid w:val="00606244"/>
    <w:rsid w:val="0060670A"/>
    <w:rsid w:val="00606C47"/>
    <w:rsid w:val="00610060"/>
    <w:rsid w:val="00610B22"/>
    <w:rsid w:val="006115EB"/>
    <w:rsid w:val="0061183C"/>
    <w:rsid w:val="006120FC"/>
    <w:rsid w:val="00612159"/>
    <w:rsid w:val="006129CE"/>
    <w:rsid w:val="00612DD2"/>
    <w:rsid w:val="00612EF1"/>
    <w:rsid w:val="00613046"/>
    <w:rsid w:val="006136C1"/>
    <w:rsid w:val="00614516"/>
    <w:rsid w:val="006151A8"/>
    <w:rsid w:val="006151EC"/>
    <w:rsid w:val="00615211"/>
    <w:rsid w:val="00616250"/>
    <w:rsid w:val="00616B96"/>
    <w:rsid w:val="00616BD8"/>
    <w:rsid w:val="00616EAE"/>
    <w:rsid w:val="00616EC4"/>
    <w:rsid w:val="00617129"/>
    <w:rsid w:val="006172DD"/>
    <w:rsid w:val="00620A09"/>
    <w:rsid w:val="006213BD"/>
    <w:rsid w:val="006214DE"/>
    <w:rsid w:val="00621739"/>
    <w:rsid w:val="00621EF3"/>
    <w:rsid w:val="006223DB"/>
    <w:rsid w:val="00622574"/>
    <w:rsid w:val="006228E1"/>
    <w:rsid w:val="00622BF0"/>
    <w:rsid w:val="00622D93"/>
    <w:rsid w:val="0062317C"/>
    <w:rsid w:val="00623181"/>
    <w:rsid w:val="00623DC9"/>
    <w:rsid w:val="00624012"/>
    <w:rsid w:val="0062491E"/>
    <w:rsid w:val="00624D3F"/>
    <w:rsid w:val="00624FE7"/>
    <w:rsid w:val="006251A4"/>
    <w:rsid w:val="006251D0"/>
    <w:rsid w:val="00625789"/>
    <w:rsid w:val="0062593C"/>
    <w:rsid w:val="00626EF7"/>
    <w:rsid w:val="00627695"/>
    <w:rsid w:val="00627CB9"/>
    <w:rsid w:val="00627E97"/>
    <w:rsid w:val="006300E4"/>
    <w:rsid w:val="006302B8"/>
    <w:rsid w:val="00630A55"/>
    <w:rsid w:val="00630C32"/>
    <w:rsid w:val="00630D33"/>
    <w:rsid w:val="00631571"/>
    <w:rsid w:val="00631D1B"/>
    <w:rsid w:val="00632099"/>
    <w:rsid w:val="00632AE6"/>
    <w:rsid w:val="00633678"/>
    <w:rsid w:val="0063473A"/>
    <w:rsid w:val="00635789"/>
    <w:rsid w:val="00635899"/>
    <w:rsid w:val="00635975"/>
    <w:rsid w:val="00635DC1"/>
    <w:rsid w:val="00636AE6"/>
    <w:rsid w:val="00636B15"/>
    <w:rsid w:val="00636B90"/>
    <w:rsid w:val="00637C0E"/>
    <w:rsid w:val="006401BC"/>
    <w:rsid w:val="00640737"/>
    <w:rsid w:val="00641EE9"/>
    <w:rsid w:val="0064200C"/>
    <w:rsid w:val="006421C2"/>
    <w:rsid w:val="00642A19"/>
    <w:rsid w:val="00642A1C"/>
    <w:rsid w:val="00642C03"/>
    <w:rsid w:val="00643608"/>
    <w:rsid w:val="006442B1"/>
    <w:rsid w:val="00644DA6"/>
    <w:rsid w:val="00644F6F"/>
    <w:rsid w:val="00645B45"/>
    <w:rsid w:val="00645DB6"/>
    <w:rsid w:val="00646082"/>
    <w:rsid w:val="0064613A"/>
    <w:rsid w:val="006469BD"/>
    <w:rsid w:val="006469DC"/>
    <w:rsid w:val="00647030"/>
    <w:rsid w:val="00647F7D"/>
    <w:rsid w:val="00650086"/>
    <w:rsid w:val="00650122"/>
    <w:rsid w:val="00650EAC"/>
    <w:rsid w:val="00651276"/>
    <w:rsid w:val="006515E2"/>
    <w:rsid w:val="006521F5"/>
    <w:rsid w:val="0065266D"/>
    <w:rsid w:val="00652CCE"/>
    <w:rsid w:val="00652D16"/>
    <w:rsid w:val="00653015"/>
    <w:rsid w:val="00653187"/>
    <w:rsid w:val="00653557"/>
    <w:rsid w:val="006540BE"/>
    <w:rsid w:val="00654335"/>
    <w:rsid w:val="00654A1D"/>
    <w:rsid w:val="00654A40"/>
    <w:rsid w:val="00654B86"/>
    <w:rsid w:val="00654CB0"/>
    <w:rsid w:val="00654E61"/>
    <w:rsid w:val="0065518A"/>
    <w:rsid w:val="00656446"/>
    <w:rsid w:val="0065659A"/>
    <w:rsid w:val="006607F9"/>
    <w:rsid w:val="00660E5A"/>
    <w:rsid w:val="0066114F"/>
    <w:rsid w:val="00661530"/>
    <w:rsid w:val="00661547"/>
    <w:rsid w:val="00661A1C"/>
    <w:rsid w:val="00661AF8"/>
    <w:rsid w:val="00662035"/>
    <w:rsid w:val="00662298"/>
    <w:rsid w:val="006625D3"/>
    <w:rsid w:val="00662C1D"/>
    <w:rsid w:val="00663819"/>
    <w:rsid w:val="00663BE6"/>
    <w:rsid w:val="0066408A"/>
    <w:rsid w:val="00664503"/>
    <w:rsid w:val="00664F02"/>
    <w:rsid w:val="00665112"/>
    <w:rsid w:val="00665296"/>
    <w:rsid w:val="006659C8"/>
    <w:rsid w:val="006659D5"/>
    <w:rsid w:val="00665D0A"/>
    <w:rsid w:val="006664BF"/>
    <w:rsid w:val="00667176"/>
    <w:rsid w:val="00667850"/>
    <w:rsid w:val="006678AB"/>
    <w:rsid w:val="00670211"/>
    <w:rsid w:val="00670C5B"/>
    <w:rsid w:val="006711B8"/>
    <w:rsid w:val="0067186C"/>
    <w:rsid w:val="00671DC6"/>
    <w:rsid w:val="00672064"/>
    <w:rsid w:val="00672152"/>
    <w:rsid w:val="00672D28"/>
    <w:rsid w:val="0067398D"/>
    <w:rsid w:val="00673B20"/>
    <w:rsid w:val="00673DA8"/>
    <w:rsid w:val="00673DE2"/>
    <w:rsid w:val="00674357"/>
    <w:rsid w:val="00674362"/>
    <w:rsid w:val="00675010"/>
    <w:rsid w:val="00675285"/>
    <w:rsid w:val="00675CB9"/>
    <w:rsid w:val="0067613E"/>
    <w:rsid w:val="006761E2"/>
    <w:rsid w:val="00676A00"/>
    <w:rsid w:val="00676B42"/>
    <w:rsid w:val="00676EA7"/>
    <w:rsid w:val="00677C2F"/>
    <w:rsid w:val="00677C40"/>
    <w:rsid w:val="006809AC"/>
    <w:rsid w:val="00680AF2"/>
    <w:rsid w:val="00680B3D"/>
    <w:rsid w:val="00680F40"/>
    <w:rsid w:val="00681E96"/>
    <w:rsid w:val="00681EA3"/>
    <w:rsid w:val="0068330E"/>
    <w:rsid w:val="006839B8"/>
    <w:rsid w:val="006839FC"/>
    <w:rsid w:val="00684198"/>
    <w:rsid w:val="006844F9"/>
    <w:rsid w:val="00684617"/>
    <w:rsid w:val="00685451"/>
    <w:rsid w:val="00685584"/>
    <w:rsid w:val="00685B0E"/>
    <w:rsid w:val="00686164"/>
    <w:rsid w:val="0068636F"/>
    <w:rsid w:val="006865C3"/>
    <w:rsid w:val="00686D48"/>
    <w:rsid w:val="00687401"/>
    <w:rsid w:val="006878DA"/>
    <w:rsid w:val="00687D27"/>
    <w:rsid w:val="00687F14"/>
    <w:rsid w:val="0069092E"/>
    <w:rsid w:val="006909F7"/>
    <w:rsid w:val="00690D87"/>
    <w:rsid w:val="006911CF"/>
    <w:rsid w:val="0069178F"/>
    <w:rsid w:val="00691B3D"/>
    <w:rsid w:val="00691C57"/>
    <w:rsid w:val="00692150"/>
    <w:rsid w:val="00692AE4"/>
    <w:rsid w:val="00692E24"/>
    <w:rsid w:val="00692F16"/>
    <w:rsid w:val="006930C1"/>
    <w:rsid w:val="00693B49"/>
    <w:rsid w:val="006950F2"/>
    <w:rsid w:val="0069596E"/>
    <w:rsid w:val="006962B7"/>
    <w:rsid w:val="00696484"/>
    <w:rsid w:val="00696C56"/>
    <w:rsid w:val="006979A2"/>
    <w:rsid w:val="006A0201"/>
    <w:rsid w:val="006A080A"/>
    <w:rsid w:val="006A0B07"/>
    <w:rsid w:val="006A0E3A"/>
    <w:rsid w:val="006A0FAB"/>
    <w:rsid w:val="006A1655"/>
    <w:rsid w:val="006A1F24"/>
    <w:rsid w:val="006A2103"/>
    <w:rsid w:val="006A2A7A"/>
    <w:rsid w:val="006A2ACE"/>
    <w:rsid w:val="006A34B4"/>
    <w:rsid w:val="006A370E"/>
    <w:rsid w:val="006A3FBD"/>
    <w:rsid w:val="006A40BC"/>
    <w:rsid w:val="006A4164"/>
    <w:rsid w:val="006A4501"/>
    <w:rsid w:val="006A4F27"/>
    <w:rsid w:val="006A4FC2"/>
    <w:rsid w:val="006A5570"/>
    <w:rsid w:val="006A5969"/>
    <w:rsid w:val="006A5ADA"/>
    <w:rsid w:val="006A5FC0"/>
    <w:rsid w:val="006A60C6"/>
    <w:rsid w:val="006A6535"/>
    <w:rsid w:val="006A75CA"/>
    <w:rsid w:val="006A7B1D"/>
    <w:rsid w:val="006B03F6"/>
    <w:rsid w:val="006B0B1B"/>
    <w:rsid w:val="006B12E2"/>
    <w:rsid w:val="006B1807"/>
    <w:rsid w:val="006B1861"/>
    <w:rsid w:val="006B1A05"/>
    <w:rsid w:val="006B1D68"/>
    <w:rsid w:val="006B1FFE"/>
    <w:rsid w:val="006B2265"/>
    <w:rsid w:val="006B23A6"/>
    <w:rsid w:val="006B26B7"/>
    <w:rsid w:val="006B2C61"/>
    <w:rsid w:val="006B2E0B"/>
    <w:rsid w:val="006B3129"/>
    <w:rsid w:val="006B33D3"/>
    <w:rsid w:val="006B33ED"/>
    <w:rsid w:val="006B3D9D"/>
    <w:rsid w:val="006B40D1"/>
    <w:rsid w:val="006B423E"/>
    <w:rsid w:val="006B489D"/>
    <w:rsid w:val="006B4AB3"/>
    <w:rsid w:val="006B4B83"/>
    <w:rsid w:val="006B4D8A"/>
    <w:rsid w:val="006B4DC6"/>
    <w:rsid w:val="006B4F53"/>
    <w:rsid w:val="006B5804"/>
    <w:rsid w:val="006B5D87"/>
    <w:rsid w:val="006B5DA2"/>
    <w:rsid w:val="006B69B9"/>
    <w:rsid w:val="006B7696"/>
    <w:rsid w:val="006B7D34"/>
    <w:rsid w:val="006B7DC4"/>
    <w:rsid w:val="006B7E3A"/>
    <w:rsid w:val="006C0AC8"/>
    <w:rsid w:val="006C0BFA"/>
    <w:rsid w:val="006C14D5"/>
    <w:rsid w:val="006C18D2"/>
    <w:rsid w:val="006C245D"/>
    <w:rsid w:val="006C2610"/>
    <w:rsid w:val="006C2759"/>
    <w:rsid w:val="006C282E"/>
    <w:rsid w:val="006C2ACE"/>
    <w:rsid w:val="006C317C"/>
    <w:rsid w:val="006C3403"/>
    <w:rsid w:val="006C3576"/>
    <w:rsid w:val="006C35EB"/>
    <w:rsid w:val="006C3652"/>
    <w:rsid w:val="006C415A"/>
    <w:rsid w:val="006C4573"/>
    <w:rsid w:val="006C4933"/>
    <w:rsid w:val="006C4E6F"/>
    <w:rsid w:val="006C5257"/>
    <w:rsid w:val="006C553C"/>
    <w:rsid w:val="006C5FE3"/>
    <w:rsid w:val="006C63B3"/>
    <w:rsid w:val="006C649C"/>
    <w:rsid w:val="006C6604"/>
    <w:rsid w:val="006C6AB1"/>
    <w:rsid w:val="006C7421"/>
    <w:rsid w:val="006C7937"/>
    <w:rsid w:val="006C7A7E"/>
    <w:rsid w:val="006D02FE"/>
    <w:rsid w:val="006D071F"/>
    <w:rsid w:val="006D0986"/>
    <w:rsid w:val="006D0A00"/>
    <w:rsid w:val="006D0A40"/>
    <w:rsid w:val="006D0D5B"/>
    <w:rsid w:val="006D0F39"/>
    <w:rsid w:val="006D0FFF"/>
    <w:rsid w:val="006D1051"/>
    <w:rsid w:val="006D1262"/>
    <w:rsid w:val="006D1998"/>
    <w:rsid w:val="006D1D4C"/>
    <w:rsid w:val="006D1E9E"/>
    <w:rsid w:val="006D2302"/>
    <w:rsid w:val="006D26EC"/>
    <w:rsid w:val="006D2C6D"/>
    <w:rsid w:val="006D2CAF"/>
    <w:rsid w:val="006D2EDE"/>
    <w:rsid w:val="006D2FCF"/>
    <w:rsid w:val="006D335C"/>
    <w:rsid w:val="006D4027"/>
    <w:rsid w:val="006D4728"/>
    <w:rsid w:val="006D474C"/>
    <w:rsid w:val="006D4B68"/>
    <w:rsid w:val="006D4BC7"/>
    <w:rsid w:val="006D53CF"/>
    <w:rsid w:val="006D57BB"/>
    <w:rsid w:val="006D57EA"/>
    <w:rsid w:val="006D62F2"/>
    <w:rsid w:val="006D67B6"/>
    <w:rsid w:val="006D6B5C"/>
    <w:rsid w:val="006D751B"/>
    <w:rsid w:val="006D7B58"/>
    <w:rsid w:val="006E0314"/>
    <w:rsid w:val="006E054A"/>
    <w:rsid w:val="006E0A69"/>
    <w:rsid w:val="006E0FD4"/>
    <w:rsid w:val="006E100A"/>
    <w:rsid w:val="006E16C4"/>
    <w:rsid w:val="006E192F"/>
    <w:rsid w:val="006E196C"/>
    <w:rsid w:val="006E27F1"/>
    <w:rsid w:val="006E2986"/>
    <w:rsid w:val="006E2F76"/>
    <w:rsid w:val="006E310E"/>
    <w:rsid w:val="006E357E"/>
    <w:rsid w:val="006E381D"/>
    <w:rsid w:val="006E3973"/>
    <w:rsid w:val="006E4002"/>
    <w:rsid w:val="006E4BD4"/>
    <w:rsid w:val="006E4C95"/>
    <w:rsid w:val="006E5199"/>
    <w:rsid w:val="006E68EE"/>
    <w:rsid w:val="006E707E"/>
    <w:rsid w:val="006E7228"/>
    <w:rsid w:val="006E764A"/>
    <w:rsid w:val="006E7CD0"/>
    <w:rsid w:val="006F0521"/>
    <w:rsid w:val="006F077F"/>
    <w:rsid w:val="006F0963"/>
    <w:rsid w:val="006F13E9"/>
    <w:rsid w:val="006F1B27"/>
    <w:rsid w:val="006F27F1"/>
    <w:rsid w:val="006F2A94"/>
    <w:rsid w:val="006F2DF2"/>
    <w:rsid w:val="006F3815"/>
    <w:rsid w:val="006F3D11"/>
    <w:rsid w:val="006F3DB2"/>
    <w:rsid w:val="006F3EF3"/>
    <w:rsid w:val="006F3FCB"/>
    <w:rsid w:val="006F49ED"/>
    <w:rsid w:val="006F5010"/>
    <w:rsid w:val="006F50AC"/>
    <w:rsid w:val="006F53C8"/>
    <w:rsid w:val="006F5A8A"/>
    <w:rsid w:val="006F5ACF"/>
    <w:rsid w:val="006F5E7C"/>
    <w:rsid w:val="006F5F76"/>
    <w:rsid w:val="006F60C1"/>
    <w:rsid w:val="006F6524"/>
    <w:rsid w:val="006F657F"/>
    <w:rsid w:val="006F6926"/>
    <w:rsid w:val="006F6CD3"/>
    <w:rsid w:val="006F6E56"/>
    <w:rsid w:val="006F706D"/>
    <w:rsid w:val="006F7E75"/>
    <w:rsid w:val="006F7FE1"/>
    <w:rsid w:val="00700467"/>
    <w:rsid w:val="00700647"/>
    <w:rsid w:val="007006A2"/>
    <w:rsid w:val="007009ED"/>
    <w:rsid w:val="0070100F"/>
    <w:rsid w:val="007011D6"/>
    <w:rsid w:val="0070127E"/>
    <w:rsid w:val="007013EB"/>
    <w:rsid w:val="00701733"/>
    <w:rsid w:val="00702835"/>
    <w:rsid w:val="00702886"/>
    <w:rsid w:val="00702D08"/>
    <w:rsid w:val="00703008"/>
    <w:rsid w:val="00703931"/>
    <w:rsid w:val="00703FA3"/>
    <w:rsid w:val="00704098"/>
    <w:rsid w:val="007040CB"/>
    <w:rsid w:val="007041AF"/>
    <w:rsid w:val="0070459D"/>
    <w:rsid w:val="00705195"/>
    <w:rsid w:val="007056CC"/>
    <w:rsid w:val="00705A18"/>
    <w:rsid w:val="00706304"/>
    <w:rsid w:val="007064F7"/>
    <w:rsid w:val="00706E86"/>
    <w:rsid w:val="007072EF"/>
    <w:rsid w:val="0070731D"/>
    <w:rsid w:val="00707B32"/>
    <w:rsid w:val="00710E7F"/>
    <w:rsid w:val="00711523"/>
    <w:rsid w:val="00711826"/>
    <w:rsid w:val="00711E8D"/>
    <w:rsid w:val="00712A92"/>
    <w:rsid w:val="00713093"/>
    <w:rsid w:val="00713280"/>
    <w:rsid w:val="0071387F"/>
    <w:rsid w:val="00713A5A"/>
    <w:rsid w:val="00713B4E"/>
    <w:rsid w:val="0071496F"/>
    <w:rsid w:val="00714EBA"/>
    <w:rsid w:val="00715C99"/>
    <w:rsid w:val="00716052"/>
    <w:rsid w:val="007162FB"/>
    <w:rsid w:val="00716E1D"/>
    <w:rsid w:val="00717303"/>
    <w:rsid w:val="00717539"/>
    <w:rsid w:val="00717612"/>
    <w:rsid w:val="007178CE"/>
    <w:rsid w:val="00717C8D"/>
    <w:rsid w:val="00720463"/>
    <w:rsid w:val="0072119C"/>
    <w:rsid w:val="007212C0"/>
    <w:rsid w:val="007213B4"/>
    <w:rsid w:val="00721D8D"/>
    <w:rsid w:val="00721E61"/>
    <w:rsid w:val="00721EAD"/>
    <w:rsid w:val="00722203"/>
    <w:rsid w:val="00723034"/>
    <w:rsid w:val="00723110"/>
    <w:rsid w:val="00723AD7"/>
    <w:rsid w:val="00723F61"/>
    <w:rsid w:val="007248EC"/>
    <w:rsid w:val="00724CDB"/>
    <w:rsid w:val="00724EA1"/>
    <w:rsid w:val="00725554"/>
    <w:rsid w:val="00726D05"/>
    <w:rsid w:val="007271C4"/>
    <w:rsid w:val="00727F92"/>
    <w:rsid w:val="00730004"/>
    <w:rsid w:val="00730332"/>
    <w:rsid w:val="00730397"/>
    <w:rsid w:val="00730716"/>
    <w:rsid w:val="00730956"/>
    <w:rsid w:val="00730FE6"/>
    <w:rsid w:val="0073154A"/>
    <w:rsid w:val="00732FDD"/>
    <w:rsid w:val="0073309F"/>
    <w:rsid w:val="00733269"/>
    <w:rsid w:val="007334E7"/>
    <w:rsid w:val="00733977"/>
    <w:rsid w:val="00733A15"/>
    <w:rsid w:val="00733F79"/>
    <w:rsid w:val="00734551"/>
    <w:rsid w:val="0073484A"/>
    <w:rsid w:val="00734857"/>
    <w:rsid w:val="007350B1"/>
    <w:rsid w:val="0073540F"/>
    <w:rsid w:val="00735977"/>
    <w:rsid w:val="00735DF2"/>
    <w:rsid w:val="0073680F"/>
    <w:rsid w:val="007371A7"/>
    <w:rsid w:val="0073732D"/>
    <w:rsid w:val="00737710"/>
    <w:rsid w:val="00737866"/>
    <w:rsid w:val="007378C0"/>
    <w:rsid w:val="007401F0"/>
    <w:rsid w:val="007407AD"/>
    <w:rsid w:val="00740B6A"/>
    <w:rsid w:val="00740C63"/>
    <w:rsid w:val="00741997"/>
    <w:rsid w:val="00741E19"/>
    <w:rsid w:val="0074266F"/>
    <w:rsid w:val="007431CC"/>
    <w:rsid w:val="00743286"/>
    <w:rsid w:val="00743C3E"/>
    <w:rsid w:val="00743DBC"/>
    <w:rsid w:val="00744339"/>
    <w:rsid w:val="00744A92"/>
    <w:rsid w:val="00744DCD"/>
    <w:rsid w:val="00744F8C"/>
    <w:rsid w:val="007455EA"/>
    <w:rsid w:val="007457BE"/>
    <w:rsid w:val="007467C9"/>
    <w:rsid w:val="00746EE2"/>
    <w:rsid w:val="0074726C"/>
    <w:rsid w:val="007473D6"/>
    <w:rsid w:val="00747575"/>
    <w:rsid w:val="007477FD"/>
    <w:rsid w:val="00747813"/>
    <w:rsid w:val="00750270"/>
    <w:rsid w:val="00750FDE"/>
    <w:rsid w:val="00751478"/>
    <w:rsid w:val="007517AF"/>
    <w:rsid w:val="00751882"/>
    <w:rsid w:val="00752340"/>
    <w:rsid w:val="007524B0"/>
    <w:rsid w:val="0075268C"/>
    <w:rsid w:val="00753A73"/>
    <w:rsid w:val="00753D06"/>
    <w:rsid w:val="007541B5"/>
    <w:rsid w:val="00754258"/>
    <w:rsid w:val="00754D6E"/>
    <w:rsid w:val="007552EE"/>
    <w:rsid w:val="00755432"/>
    <w:rsid w:val="007555C4"/>
    <w:rsid w:val="00755856"/>
    <w:rsid w:val="00755A3B"/>
    <w:rsid w:val="00755D56"/>
    <w:rsid w:val="0075699B"/>
    <w:rsid w:val="00756CFC"/>
    <w:rsid w:val="00757383"/>
    <w:rsid w:val="0075748F"/>
    <w:rsid w:val="00757851"/>
    <w:rsid w:val="007579E3"/>
    <w:rsid w:val="007608DF"/>
    <w:rsid w:val="0076093E"/>
    <w:rsid w:val="00760DE9"/>
    <w:rsid w:val="00760E80"/>
    <w:rsid w:val="0076122B"/>
    <w:rsid w:val="007614BC"/>
    <w:rsid w:val="00761B22"/>
    <w:rsid w:val="0076217F"/>
    <w:rsid w:val="007625E7"/>
    <w:rsid w:val="007626D1"/>
    <w:rsid w:val="007629A8"/>
    <w:rsid w:val="00762ACE"/>
    <w:rsid w:val="00762EF4"/>
    <w:rsid w:val="00762F62"/>
    <w:rsid w:val="00763773"/>
    <w:rsid w:val="00763D2E"/>
    <w:rsid w:val="007648E1"/>
    <w:rsid w:val="00765236"/>
    <w:rsid w:val="00766364"/>
    <w:rsid w:val="00766AD3"/>
    <w:rsid w:val="00766C76"/>
    <w:rsid w:val="00767C62"/>
    <w:rsid w:val="00770B5A"/>
    <w:rsid w:val="00770FB0"/>
    <w:rsid w:val="0077115B"/>
    <w:rsid w:val="00771D38"/>
    <w:rsid w:val="00771F03"/>
    <w:rsid w:val="007720B0"/>
    <w:rsid w:val="00772662"/>
    <w:rsid w:val="0077280A"/>
    <w:rsid w:val="00772ECB"/>
    <w:rsid w:val="00773844"/>
    <w:rsid w:val="00773B7F"/>
    <w:rsid w:val="00773DC5"/>
    <w:rsid w:val="0077410A"/>
    <w:rsid w:val="00774B6D"/>
    <w:rsid w:val="00774C44"/>
    <w:rsid w:val="00774F28"/>
    <w:rsid w:val="00775157"/>
    <w:rsid w:val="007752E0"/>
    <w:rsid w:val="00775835"/>
    <w:rsid w:val="00775A19"/>
    <w:rsid w:val="00775BB5"/>
    <w:rsid w:val="007761F4"/>
    <w:rsid w:val="00776248"/>
    <w:rsid w:val="007762D8"/>
    <w:rsid w:val="00777B01"/>
    <w:rsid w:val="00780028"/>
    <w:rsid w:val="00780048"/>
    <w:rsid w:val="00780263"/>
    <w:rsid w:val="007813A8"/>
    <w:rsid w:val="0078173F"/>
    <w:rsid w:val="00782A55"/>
    <w:rsid w:val="00782C52"/>
    <w:rsid w:val="00782DBC"/>
    <w:rsid w:val="00783212"/>
    <w:rsid w:val="007838C8"/>
    <w:rsid w:val="007840C1"/>
    <w:rsid w:val="007841B0"/>
    <w:rsid w:val="0078428D"/>
    <w:rsid w:val="007846F9"/>
    <w:rsid w:val="007848FA"/>
    <w:rsid w:val="00784905"/>
    <w:rsid w:val="00784DA5"/>
    <w:rsid w:val="00785093"/>
    <w:rsid w:val="00785771"/>
    <w:rsid w:val="00785A74"/>
    <w:rsid w:val="00785F1F"/>
    <w:rsid w:val="0078602A"/>
    <w:rsid w:val="0078627E"/>
    <w:rsid w:val="007868CF"/>
    <w:rsid w:val="00786B51"/>
    <w:rsid w:val="00786E00"/>
    <w:rsid w:val="00787505"/>
    <w:rsid w:val="0078782B"/>
    <w:rsid w:val="007878BE"/>
    <w:rsid w:val="007878CC"/>
    <w:rsid w:val="00787A44"/>
    <w:rsid w:val="00787EA6"/>
    <w:rsid w:val="007902CE"/>
    <w:rsid w:val="00790410"/>
    <w:rsid w:val="00790A3B"/>
    <w:rsid w:val="00790CF9"/>
    <w:rsid w:val="007918D9"/>
    <w:rsid w:val="007920FA"/>
    <w:rsid w:val="007922A4"/>
    <w:rsid w:val="007925D8"/>
    <w:rsid w:val="00792F5C"/>
    <w:rsid w:val="0079382B"/>
    <w:rsid w:val="007939D2"/>
    <w:rsid w:val="00794257"/>
    <w:rsid w:val="0079467C"/>
    <w:rsid w:val="00794D2A"/>
    <w:rsid w:val="00795421"/>
    <w:rsid w:val="0079585C"/>
    <w:rsid w:val="00795CA3"/>
    <w:rsid w:val="00796279"/>
    <w:rsid w:val="007964B3"/>
    <w:rsid w:val="00796707"/>
    <w:rsid w:val="00796C50"/>
    <w:rsid w:val="00796C7B"/>
    <w:rsid w:val="00797B33"/>
    <w:rsid w:val="007A009D"/>
    <w:rsid w:val="007A0194"/>
    <w:rsid w:val="007A0385"/>
    <w:rsid w:val="007A09EE"/>
    <w:rsid w:val="007A1790"/>
    <w:rsid w:val="007A1EB1"/>
    <w:rsid w:val="007A21B6"/>
    <w:rsid w:val="007A2371"/>
    <w:rsid w:val="007A2404"/>
    <w:rsid w:val="007A2829"/>
    <w:rsid w:val="007A2B74"/>
    <w:rsid w:val="007A2C02"/>
    <w:rsid w:val="007A2FA8"/>
    <w:rsid w:val="007A31B7"/>
    <w:rsid w:val="007A357A"/>
    <w:rsid w:val="007A39B0"/>
    <w:rsid w:val="007A3A19"/>
    <w:rsid w:val="007A4878"/>
    <w:rsid w:val="007A51FD"/>
    <w:rsid w:val="007A534F"/>
    <w:rsid w:val="007A5762"/>
    <w:rsid w:val="007A5FB2"/>
    <w:rsid w:val="007A6324"/>
    <w:rsid w:val="007A6684"/>
    <w:rsid w:val="007A6ACF"/>
    <w:rsid w:val="007A7541"/>
    <w:rsid w:val="007A7FC9"/>
    <w:rsid w:val="007B0AA0"/>
    <w:rsid w:val="007B13D9"/>
    <w:rsid w:val="007B1BCA"/>
    <w:rsid w:val="007B1BEE"/>
    <w:rsid w:val="007B2363"/>
    <w:rsid w:val="007B24D0"/>
    <w:rsid w:val="007B2E22"/>
    <w:rsid w:val="007B2F19"/>
    <w:rsid w:val="007B2F3A"/>
    <w:rsid w:val="007B367E"/>
    <w:rsid w:val="007B3976"/>
    <w:rsid w:val="007B3BBE"/>
    <w:rsid w:val="007B4951"/>
    <w:rsid w:val="007B4CB7"/>
    <w:rsid w:val="007B561C"/>
    <w:rsid w:val="007B63F8"/>
    <w:rsid w:val="007B6630"/>
    <w:rsid w:val="007B67C5"/>
    <w:rsid w:val="007B6877"/>
    <w:rsid w:val="007B6A26"/>
    <w:rsid w:val="007B6CA6"/>
    <w:rsid w:val="007B6E65"/>
    <w:rsid w:val="007B7B7C"/>
    <w:rsid w:val="007C0A92"/>
    <w:rsid w:val="007C0C6F"/>
    <w:rsid w:val="007C11E6"/>
    <w:rsid w:val="007C1541"/>
    <w:rsid w:val="007C197E"/>
    <w:rsid w:val="007C1C98"/>
    <w:rsid w:val="007C23D2"/>
    <w:rsid w:val="007C256A"/>
    <w:rsid w:val="007C2ACE"/>
    <w:rsid w:val="007C3677"/>
    <w:rsid w:val="007C390C"/>
    <w:rsid w:val="007C397F"/>
    <w:rsid w:val="007C4128"/>
    <w:rsid w:val="007C42CE"/>
    <w:rsid w:val="007C43A1"/>
    <w:rsid w:val="007C5002"/>
    <w:rsid w:val="007C5530"/>
    <w:rsid w:val="007C573A"/>
    <w:rsid w:val="007C5766"/>
    <w:rsid w:val="007C57E4"/>
    <w:rsid w:val="007C638A"/>
    <w:rsid w:val="007C6392"/>
    <w:rsid w:val="007C6778"/>
    <w:rsid w:val="007C6CBB"/>
    <w:rsid w:val="007C6D5E"/>
    <w:rsid w:val="007C6FC0"/>
    <w:rsid w:val="007C71E9"/>
    <w:rsid w:val="007D0074"/>
    <w:rsid w:val="007D00B4"/>
    <w:rsid w:val="007D02DC"/>
    <w:rsid w:val="007D0347"/>
    <w:rsid w:val="007D0853"/>
    <w:rsid w:val="007D0ADC"/>
    <w:rsid w:val="007D12CD"/>
    <w:rsid w:val="007D1412"/>
    <w:rsid w:val="007D165E"/>
    <w:rsid w:val="007D1935"/>
    <w:rsid w:val="007D1CEE"/>
    <w:rsid w:val="007D236D"/>
    <w:rsid w:val="007D23BC"/>
    <w:rsid w:val="007D24B8"/>
    <w:rsid w:val="007D324E"/>
    <w:rsid w:val="007D34D5"/>
    <w:rsid w:val="007D36D9"/>
    <w:rsid w:val="007D3AF9"/>
    <w:rsid w:val="007D3B5C"/>
    <w:rsid w:val="007D416B"/>
    <w:rsid w:val="007D4891"/>
    <w:rsid w:val="007D4954"/>
    <w:rsid w:val="007D50A8"/>
    <w:rsid w:val="007D642F"/>
    <w:rsid w:val="007D657E"/>
    <w:rsid w:val="007D6AB9"/>
    <w:rsid w:val="007D767C"/>
    <w:rsid w:val="007D7998"/>
    <w:rsid w:val="007D79BF"/>
    <w:rsid w:val="007D7A0D"/>
    <w:rsid w:val="007E0559"/>
    <w:rsid w:val="007E071C"/>
    <w:rsid w:val="007E08C2"/>
    <w:rsid w:val="007E091E"/>
    <w:rsid w:val="007E0D77"/>
    <w:rsid w:val="007E17D7"/>
    <w:rsid w:val="007E1A04"/>
    <w:rsid w:val="007E1B9F"/>
    <w:rsid w:val="007E2018"/>
    <w:rsid w:val="007E20EF"/>
    <w:rsid w:val="007E2836"/>
    <w:rsid w:val="007E30C9"/>
    <w:rsid w:val="007E3257"/>
    <w:rsid w:val="007E3377"/>
    <w:rsid w:val="007E33EF"/>
    <w:rsid w:val="007E35D3"/>
    <w:rsid w:val="007E3DB2"/>
    <w:rsid w:val="007E3F26"/>
    <w:rsid w:val="007E3F5A"/>
    <w:rsid w:val="007E43E9"/>
    <w:rsid w:val="007E5BA9"/>
    <w:rsid w:val="007E5D82"/>
    <w:rsid w:val="007E5FB5"/>
    <w:rsid w:val="007E6233"/>
    <w:rsid w:val="007E64D4"/>
    <w:rsid w:val="007E6700"/>
    <w:rsid w:val="007E7281"/>
    <w:rsid w:val="007E76EB"/>
    <w:rsid w:val="007F0198"/>
    <w:rsid w:val="007F0AC6"/>
    <w:rsid w:val="007F0F58"/>
    <w:rsid w:val="007F10E4"/>
    <w:rsid w:val="007F11FF"/>
    <w:rsid w:val="007F1226"/>
    <w:rsid w:val="007F1B38"/>
    <w:rsid w:val="007F2029"/>
    <w:rsid w:val="007F22DD"/>
    <w:rsid w:val="007F26AF"/>
    <w:rsid w:val="007F2760"/>
    <w:rsid w:val="007F2FF7"/>
    <w:rsid w:val="007F3E71"/>
    <w:rsid w:val="007F4360"/>
    <w:rsid w:val="007F4515"/>
    <w:rsid w:val="007F4542"/>
    <w:rsid w:val="007F45A5"/>
    <w:rsid w:val="007F4B0C"/>
    <w:rsid w:val="007F57C6"/>
    <w:rsid w:val="007F5B31"/>
    <w:rsid w:val="007F5DB0"/>
    <w:rsid w:val="007F61DA"/>
    <w:rsid w:val="007F6299"/>
    <w:rsid w:val="007F6ED4"/>
    <w:rsid w:val="007F72CE"/>
    <w:rsid w:val="0080023F"/>
    <w:rsid w:val="0080035D"/>
    <w:rsid w:val="00800580"/>
    <w:rsid w:val="00800EB6"/>
    <w:rsid w:val="00800EC3"/>
    <w:rsid w:val="0080195A"/>
    <w:rsid w:val="00801AA0"/>
    <w:rsid w:val="00801E34"/>
    <w:rsid w:val="00801FAC"/>
    <w:rsid w:val="008022F3"/>
    <w:rsid w:val="00802BB3"/>
    <w:rsid w:val="00802EF6"/>
    <w:rsid w:val="00803B13"/>
    <w:rsid w:val="00803DEE"/>
    <w:rsid w:val="00803E2D"/>
    <w:rsid w:val="00805749"/>
    <w:rsid w:val="00805BF0"/>
    <w:rsid w:val="00805F0C"/>
    <w:rsid w:val="008066AE"/>
    <w:rsid w:val="00806FCA"/>
    <w:rsid w:val="00807A78"/>
    <w:rsid w:val="00807B5C"/>
    <w:rsid w:val="008106DA"/>
    <w:rsid w:val="008108E9"/>
    <w:rsid w:val="00810B85"/>
    <w:rsid w:val="00810DF3"/>
    <w:rsid w:val="00811C46"/>
    <w:rsid w:val="00811E7D"/>
    <w:rsid w:val="00812256"/>
    <w:rsid w:val="008122BA"/>
    <w:rsid w:val="0081233D"/>
    <w:rsid w:val="00812450"/>
    <w:rsid w:val="00812F56"/>
    <w:rsid w:val="008136A0"/>
    <w:rsid w:val="008138F4"/>
    <w:rsid w:val="00813C79"/>
    <w:rsid w:val="00813F92"/>
    <w:rsid w:val="00814196"/>
    <w:rsid w:val="008142E9"/>
    <w:rsid w:val="008146BB"/>
    <w:rsid w:val="00814BEF"/>
    <w:rsid w:val="00814C3C"/>
    <w:rsid w:val="00815318"/>
    <w:rsid w:val="0081535A"/>
    <w:rsid w:val="0081578E"/>
    <w:rsid w:val="00815CF4"/>
    <w:rsid w:val="00815F7D"/>
    <w:rsid w:val="008161E0"/>
    <w:rsid w:val="00817035"/>
    <w:rsid w:val="00817056"/>
    <w:rsid w:val="00820003"/>
    <w:rsid w:val="008200F1"/>
    <w:rsid w:val="008201AD"/>
    <w:rsid w:val="00820B3F"/>
    <w:rsid w:val="0082113B"/>
    <w:rsid w:val="00821869"/>
    <w:rsid w:val="008219AA"/>
    <w:rsid w:val="0082222B"/>
    <w:rsid w:val="0082298C"/>
    <w:rsid w:val="008231D8"/>
    <w:rsid w:val="0082346A"/>
    <w:rsid w:val="00823A5C"/>
    <w:rsid w:val="00823A77"/>
    <w:rsid w:val="00823BB5"/>
    <w:rsid w:val="00824BE3"/>
    <w:rsid w:val="008255D1"/>
    <w:rsid w:val="00825A8E"/>
    <w:rsid w:val="00825BB6"/>
    <w:rsid w:val="00826179"/>
    <w:rsid w:val="008262DD"/>
    <w:rsid w:val="00826476"/>
    <w:rsid w:val="00826A7A"/>
    <w:rsid w:val="0082783C"/>
    <w:rsid w:val="0083071F"/>
    <w:rsid w:val="0083107A"/>
    <w:rsid w:val="008311B3"/>
    <w:rsid w:val="0083203F"/>
    <w:rsid w:val="00832646"/>
    <w:rsid w:val="008329B8"/>
    <w:rsid w:val="00832DD0"/>
    <w:rsid w:val="00832DE8"/>
    <w:rsid w:val="0083365E"/>
    <w:rsid w:val="00833C89"/>
    <w:rsid w:val="00833FB6"/>
    <w:rsid w:val="008343D8"/>
    <w:rsid w:val="00834A22"/>
    <w:rsid w:val="00834A65"/>
    <w:rsid w:val="00834AA3"/>
    <w:rsid w:val="008354CB"/>
    <w:rsid w:val="0083581A"/>
    <w:rsid w:val="00835EE0"/>
    <w:rsid w:val="0083631B"/>
    <w:rsid w:val="00836924"/>
    <w:rsid w:val="008370C5"/>
    <w:rsid w:val="00837D22"/>
    <w:rsid w:val="008400E4"/>
    <w:rsid w:val="008408FB"/>
    <w:rsid w:val="00841353"/>
    <w:rsid w:val="0084156B"/>
    <w:rsid w:val="0084188B"/>
    <w:rsid w:val="008419A7"/>
    <w:rsid w:val="00841F16"/>
    <w:rsid w:val="00842640"/>
    <w:rsid w:val="008427F6"/>
    <w:rsid w:val="00842BEC"/>
    <w:rsid w:val="00842EEC"/>
    <w:rsid w:val="0084332C"/>
    <w:rsid w:val="00843982"/>
    <w:rsid w:val="00843AAD"/>
    <w:rsid w:val="00843E29"/>
    <w:rsid w:val="00843F8B"/>
    <w:rsid w:val="00844219"/>
    <w:rsid w:val="00844375"/>
    <w:rsid w:val="00845555"/>
    <w:rsid w:val="00845FB3"/>
    <w:rsid w:val="00846048"/>
    <w:rsid w:val="00846613"/>
    <w:rsid w:val="008467E6"/>
    <w:rsid w:val="00846CA2"/>
    <w:rsid w:val="00846CEF"/>
    <w:rsid w:val="0084721F"/>
    <w:rsid w:val="008472F9"/>
    <w:rsid w:val="0084755B"/>
    <w:rsid w:val="00847811"/>
    <w:rsid w:val="00847E16"/>
    <w:rsid w:val="0085008E"/>
    <w:rsid w:val="008501A5"/>
    <w:rsid w:val="008507F3"/>
    <w:rsid w:val="00850A2C"/>
    <w:rsid w:val="008512F0"/>
    <w:rsid w:val="00851914"/>
    <w:rsid w:val="00851997"/>
    <w:rsid w:val="00852808"/>
    <w:rsid w:val="00852919"/>
    <w:rsid w:val="00852AF5"/>
    <w:rsid w:val="00852DE3"/>
    <w:rsid w:val="00853260"/>
    <w:rsid w:val="00853476"/>
    <w:rsid w:val="0085396A"/>
    <w:rsid w:val="00853FDB"/>
    <w:rsid w:val="00853FFE"/>
    <w:rsid w:val="00855A3E"/>
    <w:rsid w:val="00855A87"/>
    <w:rsid w:val="00855FD5"/>
    <w:rsid w:val="0085637C"/>
    <w:rsid w:val="008568D8"/>
    <w:rsid w:val="00856987"/>
    <w:rsid w:val="00857122"/>
    <w:rsid w:val="0086087D"/>
    <w:rsid w:val="00860BAB"/>
    <w:rsid w:val="00860CD3"/>
    <w:rsid w:val="00861325"/>
    <w:rsid w:val="0086165D"/>
    <w:rsid w:val="00861FB1"/>
    <w:rsid w:val="0086252B"/>
    <w:rsid w:val="00862C67"/>
    <w:rsid w:val="00862FB9"/>
    <w:rsid w:val="00863468"/>
    <w:rsid w:val="008634C9"/>
    <w:rsid w:val="00863A07"/>
    <w:rsid w:val="00863FDF"/>
    <w:rsid w:val="008654F8"/>
    <w:rsid w:val="008659AE"/>
    <w:rsid w:val="008662B2"/>
    <w:rsid w:val="008664C4"/>
    <w:rsid w:val="008665E1"/>
    <w:rsid w:val="00866A28"/>
    <w:rsid w:val="00866E37"/>
    <w:rsid w:val="00866E8D"/>
    <w:rsid w:val="00866F65"/>
    <w:rsid w:val="00867058"/>
    <w:rsid w:val="00867920"/>
    <w:rsid w:val="0086797B"/>
    <w:rsid w:val="00867BC7"/>
    <w:rsid w:val="00867CD6"/>
    <w:rsid w:val="008700C3"/>
    <w:rsid w:val="00870213"/>
    <w:rsid w:val="0087042D"/>
    <w:rsid w:val="0087115B"/>
    <w:rsid w:val="008713E1"/>
    <w:rsid w:val="00871827"/>
    <w:rsid w:val="00872177"/>
    <w:rsid w:val="0087246F"/>
    <w:rsid w:val="008727D0"/>
    <w:rsid w:val="00872867"/>
    <w:rsid w:val="00873285"/>
    <w:rsid w:val="008737B1"/>
    <w:rsid w:val="00873CED"/>
    <w:rsid w:val="00873D5D"/>
    <w:rsid w:val="00873EDE"/>
    <w:rsid w:val="00873FC4"/>
    <w:rsid w:val="00874A55"/>
    <w:rsid w:val="00874CE2"/>
    <w:rsid w:val="00875048"/>
    <w:rsid w:val="008755B4"/>
    <w:rsid w:val="0087576E"/>
    <w:rsid w:val="00875A14"/>
    <w:rsid w:val="00875C11"/>
    <w:rsid w:val="00875DA3"/>
    <w:rsid w:val="008761E2"/>
    <w:rsid w:val="00876F08"/>
    <w:rsid w:val="0087737F"/>
    <w:rsid w:val="00880311"/>
    <w:rsid w:val="00880675"/>
    <w:rsid w:val="00880D0F"/>
    <w:rsid w:val="00880F35"/>
    <w:rsid w:val="008810C8"/>
    <w:rsid w:val="00881C11"/>
    <w:rsid w:val="00882582"/>
    <w:rsid w:val="00882A0D"/>
    <w:rsid w:val="00882D24"/>
    <w:rsid w:val="008835EE"/>
    <w:rsid w:val="0088363B"/>
    <w:rsid w:val="00883F15"/>
    <w:rsid w:val="008843DC"/>
    <w:rsid w:val="0088483D"/>
    <w:rsid w:val="00884AC7"/>
    <w:rsid w:val="008855BA"/>
    <w:rsid w:val="00885BE0"/>
    <w:rsid w:val="00885DA7"/>
    <w:rsid w:val="00885F49"/>
    <w:rsid w:val="0088642D"/>
    <w:rsid w:val="00886505"/>
    <w:rsid w:val="0088694C"/>
    <w:rsid w:val="008869E6"/>
    <w:rsid w:val="00886DD0"/>
    <w:rsid w:val="00887021"/>
    <w:rsid w:val="0088763E"/>
    <w:rsid w:val="0088778D"/>
    <w:rsid w:val="00887DCB"/>
    <w:rsid w:val="00887EA5"/>
    <w:rsid w:val="00887F0D"/>
    <w:rsid w:val="00887F96"/>
    <w:rsid w:val="008901A2"/>
    <w:rsid w:val="008916E9"/>
    <w:rsid w:val="00891713"/>
    <w:rsid w:val="00891A81"/>
    <w:rsid w:val="00891D6F"/>
    <w:rsid w:val="00891EA7"/>
    <w:rsid w:val="00892422"/>
    <w:rsid w:val="00892616"/>
    <w:rsid w:val="00892D1C"/>
    <w:rsid w:val="00893B98"/>
    <w:rsid w:val="008946E5"/>
    <w:rsid w:val="00894DE0"/>
    <w:rsid w:val="008967A5"/>
    <w:rsid w:val="00896E77"/>
    <w:rsid w:val="00897424"/>
    <w:rsid w:val="00897613"/>
    <w:rsid w:val="00897815"/>
    <w:rsid w:val="00897C4D"/>
    <w:rsid w:val="008A0A0E"/>
    <w:rsid w:val="008A11F8"/>
    <w:rsid w:val="008A13EF"/>
    <w:rsid w:val="008A16BC"/>
    <w:rsid w:val="008A2101"/>
    <w:rsid w:val="008A23E5"/>
    <w:rsid w:val="008A25F1"/>
    <w:rsid w:val="008A2AD1"/>
    <w:rsid w:val="008A2B16"/>
    <w:rsid w:val="008A2E8E"/>
    <w:rsid w:val="008A333B"/>
    <w:rsid w:val="008A3997"/>
    <w:rsid w:val="008A3AB8"/>
    <w:rsid w:val="008A3B19"/>
    <w:rsid w:val="008A3D85"/>
    <w:rsid w:val="008A4074"/>
    <w:rsid w:val="008A412C"/>
    <w:rsid w:val="008A440D"/>
    <w:rsid w:val="008A452E"/>
    <w:rsid w:val="008A4D76"/>
    <w:rsid w:val="008A4DB8"/>
    <w:rsid w:val="008A6735"/>
    <w:rsid w:val="008A6845"/>
    <w:rsid w:val="008A7C76"/>
    <w:rsid w:val="008B0178"/>
    <w:rsid w:val="008B0498"/>
    <w:rsid w:val="008B0535"/>
    <w:rsid w:val="008B0ACD"/>
    <w:rsid w:val="008B1A57"/>
    <w:rsid w:val="008B22FD"/>
    <w:rsid w:val="008B2E58"/>
    <w:rsid w:val="008B3720"/>
    <w:rsid w:val="008B3933"/>
    <w:rsid w:val="008B3CF9"/>
    <w:rsid w:val="008B45CC"/>
    <w:rsid w:val="008B4F43"/>
    <w:rsid w:val="008B5E48"/>
    <w:rsid w:val="008B680E"/>
    <w:rsid w:val="008B6BB3"/>
    <w:rsid w:val="008B6D3D"/>
    <w:rsid w:val="008B6DBA"/>
    <w:rsid w:val="008B6DE5"/>
    <w:rsid w:val="008B7B31"/>
    <w:rsid w:val="008B7DE1"/>
    <w:rsid w:val="008C0590"/>
    <w:rsid w:val="008C075B"/>
    <w:rsid w:val="008C0805"/>
    <w:rsid w:val="008C0C88"/>
    <w:rsid w:val="008C11D1"/>
    <w:rsid w:val="008C133A"/>
    <w:rsid w:val="008C1594"/>
    <w:rsid w:val="008C1809"/>
    <w:rsid w:val="008C188B"/>
    <w:rsid w:val="008C1A95"/>
    <w:rsid w:val="008C1AAC"/>
    <w:rsid w:val="008C1F00"/>
    <w:rsid w:val="008C2925"/>
    <w:rsid w:val="008C2FB8"/>
    <w:rsid w:val="008C3058"/>
    <w:rsid w:val="008C3627"/>
    <w:rsid w:val="008C374E"/>
    <w:rsid w:val="008C3F70"/>
    <w:rsid w:val="008C4FCB"/>
    <w:rsid w:val="008C518C"/>
    <w:rsid w:val="008C5249"/>
    <w:rsid w:val="008C54AE"/>
    <w:rsid w:val="008C57D3"/>
    <w:rsid w:val="008C5985"/>
    <w:rsid w:val="008C697A"/>
    <w:rsid w:val="008C6EEF"/>
    <w:rsid w:val="008C71B3"/>
    <w:rsid w:val="008C74D7"/>
    <w:rsid w:val="008C7793"/>
    <w:rsid w:val="008C7873"/>
    <w:rsid w:val="008C7A7A"/>
    <w:rsid w:val="008D0141"/>
    <w:rsid w:val="008D09C5"/>
    <w:rsid w:val="008D0F13"/>
    <w:rsid w:val="008D0F15"/>
    <w:rsid w:val="008D1447"/>
    <w:rsid w:val="008D18D7"/>
    <w:rsid w:val="008D1CDB"/>
    <w:rsid w:val="008D20CE"/>
    <w:rsid w:val="008D28D5"/>
    <w:rsid w:val="008D2A7D"/>
    <w:rsid w:val="008D2B96"/>
    <w:rsid w:val="008D32D7"/>
    <w:rsid w:val="008D349F"/>
    <w:rsid w:val="008D376D"/>
    <w:rsid w:val="008D40F1"/>
    <w:rsid w:val="008D421A"/>
    <w:rsid w:val="008D4640"/>
    <w:rsid w:val="008D567E"/>
    <w:rsid w:val="008D5F97"/>
    <w:rsid w:val="008D5FFC"/>
    <w:rsid w:val="008D6224"/>
    <w:rsid w:val="008D68D6"/>
    <w:rsid w:val="008D6C7E"/>
    <w:rsid w:val="008D7881"/>
    <w:rsid w:val="008D7D28"/>
    <w:rsid w:val="008D7FC8"/>
    <w:rsid w:val="008E025A"/>
    <w:rsid w:val="008E04CA"/>
    <w:rsid w:val="008E1295"/>
    <w:rsid w:val="008E1CE5"/>
    <w:rsid w:val="008E38AD"/>
    <w:rsid w:val="008E3EB4"/>
    <w:rsid w:val="008E3F02"/>
    <w:rsid w:val="008E42F4"/>
    <w:rsid w:val="008E4704"/>
    <w:rsid w:val="008E4790"/>
    <w:rsid w:val="008E5923"/>
    <w:rsid w:val="008E5AE0"/>
    <w:rsid w:val="008E7862"/>
    <w:rsid w:val="008E7DE0"/>
    <w:rsid w:val="008F0B8E"/>
    <w:rsid w:val="008F1E3C"/>
    <w:rsid w:val="008F1F21"/>
    <w:rsid w:val="008F2098"/>
    <w:rsid w:val="008F226D"/>
    <w:rsid w:val="008F25D8"/>
    <w:rsid w:val="008F2D4A"/>
    <w:rsid w:val="008F2D91"/>
    <w:rsid w:val="008F31E0"/>
    <w:rsid w:val="008F3804"/>
    <w:rsid w:val="008F3C0C"/>
    <w:rsid w:val="008F410D"/>
    <w:rsid w:val="008F45AB"/>
    <w:rsid w:val="008F4B63"/>
    <w:rsid w:val="008F59FE"/>
    <w:rsid w:val="008F5B99"/>
    <w:rsid w:val="008F634F"/>
    <w:rsid w:val="008F63EF"/>
    <w:rsid w:val="008F6B50"/>
    <w:rsid w:val="008F6FB2"/>
    <w:rsid w:val="008F6FD5"/>
    <w:rsid w:val="008F712F"/>
    <w:rsid w:val="008F74C6"/>
    <w:rsid w:val="008F7741"/>
    <w:rsid w:val="00900434"/>
    <w:rsid w:val="009004C3"/>
    <w:rsid w:val="009005C2"/>
    <w:rsid w:val="0090069A"/>
    <w:rsid w:val="009009AF"/>
    <w:rsid w:val="00900B24"/>
    <w:rsid w:val="00900F98"/>
    <w:rsid w:val="00900FE1"/>
    <w:rsid w:val="0090138B"/>
    <w:rsid w:val="0090173B"/>
    <w:rsid w:val="00901B40"/>
    <w:rsid w:val="00902435"/>
    <w:rsid w:val="00902490"/>
    <w:rsid w:val="00902A66"/>
    <w:rsid w:val="00902D5D"/>
    <w:rsid w:val="0090302A"/>
    <w:rsid w:val="0090306E"/>
    <w:rsid w:val="009034EB"/>
    <w:rsid w:val="0090358E"/>
    <w:rsid w:val="00903AE9"/>
    <w:rsid w:val="009048F1"/>
    <w:rsid w:val="00904CD5"/>
    <w:rsid w:val="0090547E"/>
    <w:rsid w:val="00905B0A"/>
    <w:rsid w:val="00905C0E"/>
    <w:rsid w:val="00905E0F"/>
    <w:rsid w:val="0090697D"/>
    <w:rsid w:val="00906A30"/>
    <w:rsid w:val="00906CFE"/>
    <w:rsid w:val="00907896"/>
    <w:rsid w:val="00907CC7"/>
    <w:rsid w:val="0091068D"/>
    <w:rsid w:val="00910A5D"/>
    <w:rsid w:val="00911135"/>
    <w:rsid w:val="009115CE"/>
    <w:rsid w:val="00911951"/>
    <w:rsid w:val="00911C12"/>
    <w:rsid w:val="00911D59"/>
    <w:rsid w:val="0091212E"/>
    <w:rsid w:val="009121BC"/>
    <w:rsid w:val="00912BAE"/>
    <w:rsid w:val="00913181"/>
    <w:rsid w:val="0091419D"/>
    <w:rsid w:val="009142F5"/>
    <w:rsid w:val="00914801"/>
    <w:rsid w:val="00914CAD"/>
    <w:rsid w:val="00914CD1"/>
    <w:rsid w:val="0091501D"/>
    <w:rsid w:val="00915103"/>
    <w:rsid w:val="009151CB"/>
    <w:rsid w:val="00915566"/>
    <w:rsid w:val="009158D2"/>
    <w:rsid w:val="00915F65"/>
    <w:rsid w:val="00916DCF"/>
    <w:rsid w:val="00917238"/>
    <w:rsid w:val="0091727A"/>
    <w:rsid w:val="00917E3D"/>
    <w:rsid w:val="009203B6"/>
    <w:rsid w:val="0092060D"/>
    <w:rsid w:val="0092069D"/>
    <w:rsid w:val="009209D3"/>
    <w:rsid w:val="00920BB6"/>
    <w:rsid w:val="00920E3B"/>
    <w:rsid w:val="00920F40"/>
    <w:rsid w:val="0092144B"/>
    <w:rsid w:val="009214BE"/>
    <w:rsid w:val="00921F82"/>
    <w:rsid w:val="00922F5E"/>
    <w:rsid w:val="00922FAA"/>
    <w:rsid w:val="009235F6"/>
    <w:rsid w:val="009237C3"/>
    <w:rsid w:val="009238A0"/>
    <w:rsid w:val="009241D5"/>
    <w:rsid w:val="00924A3B"/>
    <w:rsid w:val="00924AE5"/>
    <w:rsid w:val="00925336"/>
    <w:rsid w:val="0092565E"/>
    <w:rsid w:val="00925A1F"/>
    <w:rsid w:val="0092619B"/>
    <w:rsid w:val="00926696"/>
    <w:rsid w:val="00926CB6"/>
    <w:rsid w:val="0092789B"/>
    <w:rsid w:val="00927920"/>
    <w:rsid w:val="009279E2"/>
    <w:rsid w:val="00927A4F"/>
    <w:rsid w:val="00930059"/>
    <w:rsid w:val="009303AA"/>
    <w:rsid w:val="009303B8"/>
    <w:rsid w:val="00930DBA"/>
    <w:rsid w:val="009314C3"/>
    <w:rsid w:val="00933141"/>
    <w:rsid w:val="009331DC"/>
    <w:rsid w:val="00933371"/>
    <w:rsid w:val="00933F09"/>
    <w:rsid w:val="00934A21"/>
    <w:rsid w:val="00934C4B"/>
    <w:rsid w:val="00935130"/>
    <w:rsid w:val="009351B6"/>
    <w:rsid w:val="009354C2"/>
    <w:rsid w:val="00935BB5"/>
    <w:rsid w:val="00935E14"/>
    <w:rsid w:val="00935F6F"/>
    <w:rsid w:val="00936B28"/>
    <w:rsid w:val="0093788E"/>
    <w:rsid w:val="00937CD8"/>
    <w:rsid w:val="0094043F"/>
    <w:rsid w:val="009410E7"/>
    <w:rsid w:val="00941BA2"/>
    <w:rsid w:val="00942949"/>
    <w:rsid w:val="009429C3"/>
    <w:rsid w:val="00942A66"/>
    <w:rsid w:val="009430F8"/>
    <w:rsid w:val="00943552"/>
    <w:rsid w:val="00943DEB"/>
    <w:rsid w:val="00943FC9"/>
    <w:rsid w:val="00944B2C"/>
    <w:rsid w:val="009455B7"/>
    <w:rsid w:val="00945C67"/>
    <w:rsid w:val="00946735"/>
    <w:rsid w:val="00946776"/>
    <w:rsid w:val="009467FC"/>
    <w:rsid w:val="00946BF0"/>
    <w:rsid w:val="00946F21"/>
    <w:rsid w:val="00947055"/>
    <w:rsid w:val="00947389"/>
    <w:rsid w:val="0094775F"/>
    <w:rsid w:val="00947FC6"/>
    <w:rsid w:val="009509B3"/>
    <w:rsid w:val="00950E1F"/>
    <w:rsid w:val="009512D2"/>
    <w:rsid w:val="009513E7"/>
    <w:rsid w:val="009515C5"/>
    <w:rsid w:val="0095162E"/>
    <w:rsid w:val="009520E2"/>
    <w:rsid w:val="00952B9D"/>
    <w:rsid w:val="0095365A"/>
    <w:rsid w:val="00953B35"/>
    <w:rsid w:val="00953DA2"/>
    <w:rsid w:val="0095404E"/>
    <w:rsid w:val="00954767"/>
    <w:rsid w:val="00954CA1"/>
    <w:rsid w:val="00955067"/>
    <w:rsid w:val="009550A6"/>
    <w:rsid w:val="009553BF"/>
    <w:rsid w:val="009564EC"/>
    <w:rsid w:val="009566C8"/>
    <w:rsid w:val="00956D4E"/>
    <w:rsid w:val="009575AA"/>
    <w:rsid w:val="00957B29"/>
    <w:rsid w:val="009602EA"/>
    <w:rsid w:val="009603A6"/>
    <w:rsid w:val="00960A2D"/>
    <w:rsid w:val="00960D6E"/>
    <w:rsid w:val="00960E8F"/>
    <w:rsid w:val="009611FB"/>
    <w:rsid w:val="00961F60"/>
    <w:rsid w:val="009627C5"/>
    <w:rsid w:val="00962D85"/>
    <w:rsid w:val="00963324"/>
    <w:rsid w:val="00963834"/>
    <w:rsid w:val="00963AAC"/>
    <w:rsid w:val="00963BA6"/>
    <w:rsid w:val="00963FDF"/>
    <w:rsid w:val="00964252"/>
    <w:rsid w:val="0096448A"/>
    <w:rsid w:val="009644FC"/>
    <w:rsid w:val="0096490A"/>
    <w:rsid w:val="009656C9"/>
    <w:rsid w:val="00965F84"/>
    <w:rsid w:val="009674E0"/>
    <w:rsid w:val="0096789D"/>
    <w:rsid w:val="0097113C"/>
    <w:rsid w:val="009713A3"/>
    <w:rsid w:val="00971B00"/>
    <w:rsid w:val="00971DD3"/>
    <w:rsid w:val="00971DF2"/>
    <w:rsid w:val="009722A7"/>
    <w:rsid w:val="00972D51"/>
    <w:rsid w:val="009739C3"/>
    <w:rsid w:val="009750BE"/>
    <w:rsid w:val="0097556A"/>
    <w:rsid w:val="00975C3F"/>
    <w:rsid w:val="0097607B"/>
    <w:rsid w:val="009768DE"/>
    <w:rsid w:val="00976FCD"/>
    <w:rsid w:val="00976FEA"/>
    <w:rsid w:val="0097741A"/>
    <w:rsid w:val="0097782F"/>
    <w:rsid w:val="0098003B"/>
    <w:rsid w:val="0098097F"/>
    <w:rsid w:val="00981091"/>
    <w:rsid w:val="009820A4"/>
    <w:rsid w:val="009820CB"/>
    <w:rsid w:val="00982225"/>
    <w:rsid w:val="00982317"/>
    <w:rsid w:val="00983839"/>
    <w:rsid w:val="00983DF0"/>
    <w:rsid w:val="00984203"/>
    <w:rsid w:val="00984312"/>
    <w:rsid w:val="00984A83"/>
    <w:rsid w:val="00984AC1"/>
    <w:rsid w:val="0098508D"/>
    <w:rsid w:val="00985428"/>
    <w:rsid w:val="009868B4"/>
    <w:rsid w:val="009869B1"/>
    <w:rsid w:val="00986FE0"/>
    <w:rsid w:val="0098732C"/>
    <w:rsid w:val="00987C49"/>
    <w:rsid w:val="00990778"/>
    <w:rsid w:val="00991331"/>
    <w:rsid w:val="00991719"/>
    <w:rsid w:val="00991C72"/>
    <w:rsid w:val="00991F51"/>
    <w:rsid w:val="00992C6C"/>
    <w:rsid w:val="0099435B"/>
    <w:rsid w:val="009945C8"/>
    <w:rsid w:val="00994AA9"/>
    <w:rsid w:val="00996530"/>
    <w:rsid w:val="00997809"/>
    <w:rsid w:val="009A17FC"/>
    <w:rsid w:val="009A240C"/>
    <w:rsid w:val="009A2B54"/>
    <w:rsid w:val="009A2FCA"/>
    <w:rsid w:val="009A2FF8"/>
    <w:rsid w:val="009A3309"/>
    <w:rsid w:val="009A3404"/>
    <w:rsid w:val="009A3CCE"/>
    <w:rsid w:val="009A3F99"/>
    <w:rsid w:val="009A4A7B"/>
    <w:rsid w:val="009A52D1"/>
    <w:rsid w:val="009A5719"/>
    <w:rsid w:val="009A5781"/>
    <w:rsid w:val="009A5817"/>
    <w:rsid w:val="009A710F"/>
    <w:rsid w:val="009A7545"/>
    <w:rsid w:val="009A7586"/>
    <w:rsid w:val="009A7B0B"/>
    <w:rsid w:val="009A7D64"/>
    <w:rsid w:val="009B05CB"/>
    <w:rsid w:val="009B064B"/>
    <w:rsid w:val="009B1A67"/>
    <w:rsid w:val="009B1B40"/>
    <w:rsid w:val="009B2844"/>
    <w:rsid w:val="009B2E88"/>
    <w:rsid w:val="009B33F7"/>
    <w:rsid w:val="009B3938"/>
    <w:rsid w:val="009B3A0D"/>
    <w:rsid w:val="009B3D55"/>
    <w:rsid w:val="009B3FEB"/>
    <w:rsid w:val="009B44C5"/>
    <w:rsid w:val="009B4DF7"/>
    <w:rsid w:val="009B4FDB"/>
    <w:rsid w:val="009B4FFC"/>
    <w:rsid w:val="009B5364"/>
    <w:rsid w:val="009B5D2F"/>
    <w:rsid w:val="009B62D3"/>
    <w:rsid w:val="009B6B31"/>
    <w:rsid w:val="009B6D67"/>
    <w:rsid w:val="009B6EEB"/>
    <w:rsid w:val="009B712C"/>
    <w:rsid w:val="009B722B"/>
    <w:rsid w:val="009B729C"/>
    <w:rsid w:val="009B7AEB"/>
    <w:rsid w:val="009C014E"/>
    <w:rsid w:val="009C02AF"/>
    <w:rsid w:val="009C038A"/>
    <w:rsid w:val="009C06EA"/>
    <w:rsid w:val="009C0951"/>
    <w:rsid w:val="009C25F2"/>
    <w:rsid w:val="009C2B3E"/>
    <w:rsid w:val="009C3135"/>
    <w:rsid w:val="009C32F2"/>
    <w:rsid w:val="009C4156"/>
    <w:rsid w:val="009C41B1"/>
    <w:rsid w:val="009C4583"/>
    <w:rsid w:val="009C46FF"/>
    <w:rsid w:val="009C4D00"/>
    <w:rsid w:val="009C52ED"/>
    <w:rsid w:val="009C5306"/>
    <w:rsid w:val="009C5463"/>
    <w:rsid w:val="009C5819"/>
    <w:rsid w:val="009C5D07"/>
    <w:rsid w:val="009C6017"/>
    <w:rsid w:val="009C6B46"/>
    <w:rsid w:val="009C744C"/>
    <w:rsid w:val="009C76B9"/>
    <w:rsid w:val="009C7B88"/>
    <w:rsid w:val="009C7C94"/>
    <w:rsid w:val="009C7CC3"/>
    <w:rsid w:val="009D02EE"/>
    <w:rsid w:val="009D03F3"/>
    <w:rsid w:val="009D045F"/>
    <w:rsid w:val="009D07B9"/>
    <w:rsid w:val="009D0B3F"/>
    <w:rsid w:val="009D1DAC"/>
    <w:rsid w:val="009D1F50"/>
    <w:rsid w:val="009D2760"/>
    <w:rsid w:val="009D2780"/>
    <w:rsid w:val="009D2AAF"/>
    <w:rsid w:val="009D34D8"/>
    <w:rsid w:val="009D37EF"/>
    <w:rsid w:val="009D3944"/>
    <w:rsid w:val="009D42A7"/>
    <w:rsid w:val="009D47DE"/>
    <w:rsid w:val="009D4AF5"/>
    <w:rsid w:val="009D4EB9"/>
    <w:rsid w:val="009D5DE7"/>
    <w:rsid w:val="009D603C"/>
    <w:rsid w:val="009D6687"/>
    <w:rsid w:val="009D6E28"/>
    <w:rsid w:val="009D75FE"/>
    <w:rsid w:val="009D7634"/>
    <w:rsid w:val="009D79F0"/>
    <w:rsid w:val="009E01A4"/>
    <w:rsid w:val="009E1088"/>
    <w:rsid w:val="009E112F"/>
    <w:rsid w:val="009E1322"/>
    <w:rsid w:val="009E1367"/>
    <w:rsid w:val="009E1662"/>
    <w:rsid w:val="009E170D"/>
    <w:rsid w:val="009E18B5"/>
    <w:rsid w:val="009E1DF8"/>
    <w:rsid w:val="009E1E39"/>
    <w:rsid w:val="009E2A0C"/>
    <w:rsid w:val="009E32F5"/>
    <w:rsid w:val="009E35BA"/>
    <w:rsid w:val="009E3AF5"/>
    <w:rsid w:val="009E3F01"/>
    <w:rsid w:val="009E40C8"/>
    <w:rsid w:val="009E446C"/>
    <w:rsid w:val="009E44F4"/>
    <w:rsid w:val="009E51D8"/>
    <w:rsid w:val="009E582D"/>
    <w:rsid w:val="009E5882"/>
    <w:rsid w:val="009E5B52"/>
    <w:rsid w:val="009E5F4B"/>
    <w:rsid w:val="009E6979"/>
    <w:rsid w:val="009E6CDF"/>
    <w:rsid w:val="009E6E13"/>
    <w:rsid w:val="009E7924"/>
    <w:rsid w:val="009E7A94"/>
    <w:rsid w:val="009E7E54"/>
    <w:rsid w:val="009E7E77"/>
    <w:rsid w:val="009F03AF"/>
    <w:rsid w:val="009F03BB"/>
    <w:rsid w:val="009F03C9"/>
    <w:rsid w:val="009F04E7"/>
    <w:rsid w:val="009F090A"/>
    <w:rsid w:val="009F0F02"/>
    <w:rsid w:val="009F1914"/>
    <w:rsid w:val="009F1A69"/>
    <w:rsid w:val="009F1DFE"/>
    <w:rsid w:val="009F368C"/>
    <w:rsid w:val="009F3A8F"/>
    <w:rsid w:val="009F3D5D"/>
    <w:rsid w:val="009F3EEA"/>
    <w:rsid w:val="009F42E4"/>
    <w:rsid w:val="009F48EB"/>
    <w:rsid w:val="009F4E08"/>
    <w:rsid w:val="009F5199"/>
    <w:rsid w:val="009F5F2C"/>
    <w:rsid w:val="009F644C"/>
    <w:rsid w:val="009F65F2"/>
    <w:rsid w:val="009F6D42"/>
    <w:rsid w:val="009F7017"/>
    <w:rsid w:val="009F71BD"/>
    <w:rsid w:val="009F76CA"/>
    <w:rsid w:val="009F76E4"/>
    <w:rsid w:val="009F7EE3"/>
    <w:rsid w:val="00A001D5"/>
    <w:rsid w:val="00A018EB"/>
    <w:rsid w:val="00A01D9F"/>
    <w:rsid w:val="00A02066"/>
    <w:rsid w:val="00A02B9A"/>
    <w:rsid w:val="00A02D6A"/>
    <w:rsid w:val="00A02EFB"/>
    <w:rsid w:val="00A0356B"/>
    <w:rsid w:val="00A038F1"/>
    <w:rsid w:val="00A043C3"/>
    <w:rsid w:val="00A04FA1"/>
    <w:rsid w:val="00A0510B"/>
    <w:rsid w:val="00A05547"/>
    <w:rsid w:val="00A05F62"/>
    <w:rsid w:val="00A05FAA"/>
    <w:rsid w:val="00A06471"/>
    <w:rsid w:val="00A07E20"/>
    <w:rsid w:val="00A10BD0"/>
    <w:rsid w:val="00A110F3"/>
    <w:rsid w:val="00A11435"/>
    <w:rsid w:val="00A1203B"/>
    <w:rsid w:val="00A12751"/>
    <w:rsid w:val="00A1331F"/>
    <w:rsid w:val="00A1395A"/>
    <w:rsid w:val="00A13F3F"/>
    <w:rsid w:val="00A143F2"/>
    <w:rsid w:val="00A147EE"/>
    <w:rsid w:val="00A14933"/>
    <w:rsid w:val="00A149E1"/>
    <w:rsid w:val="00A14F15"/>
    <w:rsid w:val="00A153F4"/>
    <w:rsid w:val="00A1576C"/>
    <w:rsid w:val="00A15784"/>
    <w:rsid w:val="00A15A68"/>
    <w:rsid w:val="00A16263"/>
    <w:rsid w:val="00A167B3"/>
    <w:rsid w:val="00A16A67"/>
    <w:rsid w:val="00A16D40"/>
    <w:rsid w:val="00A1704E"/>
    <w:rsid w:val="00A1761C"/>
    <w:rsid w:val="00A176FE"/>
    <w:rsid w:val="00A17ADA"/>
    <w:rsid w:val="00A201A4"/>
    <w:rsid w:val="00A20357"/>
    <w:rsid w:val="00A20DCF"/>
    <w:rsid w:val="00A20EF9"/>
    <w:rsid w:val="00A20F40"/>
    <w:rsid w:val="00A20FF7"/>
    <w:rsid w:val="00A21B36"/>
    <w:rsid w:val="00A21C10"/>
    <w:rsid w:val="00A21F06"/>
    <w:rsid w:val="00A22B17"/>
    <w:rsid w:val="00A22DC8"/>
    <w:rsid w:val="00A22FCC"/>
    <w:rsid w:val="00A232E5"/>
    <w:rsid w:val="00A23647"/>
    <w:rsid w:val="00A23FE1"/>
    <w:rsid w:val="00A24607"/>
    <w:rsid w:val="00A24AB7"/>
    <w:rsid w:val="00A24BC3"/>
    <w:rsid w:val="00A24E83"/>
    <w:rsid w:val="00A255E4"/>
    <w:rsid w:val="00A25601"/>
    <w:rsid w:val="00A2591F"/>
    <w:rsid w:val="00A25A3D"/>
    <w:rsid w:val="00A25AB3"/>
    <w:rsid w:val="00A25F71"/>
    <w:rsid w:val="00A262B2"/>
    <w:rsid w:val="00A26A15"/>
    <w:rsid w:val="00A27EB0"/>
    <w:rsid w:val="00A31668"/>
    <w:rsid w:val="00A31716"/>
    <w:rsid w:val="00A31BEF"/>
    <w:rsid w:val="00A31C6C"/>
    <w:rsid w:val="00A31CE4"/>
    <w:rsid w:val="00A32D08"/>
    <w:rsid w:val="00A32D11"/>
    <w:rsid w:val="00A32DB6"/>
    <w:rsid w:val="00A330B1"/>
    <w:rsid w:val="00A341DF"/>
    <w:rsid w:val="00A347CD"/>
    <w:rsid w:val="00A34B33"/>
    <w:rsid w:val="00A34F16"/>
    <w:rsid w:val="00A35461"/>
    <w:rsid w:val="00A362EF"/>
    <w:rsid w:val="00A364DF"/>
    <w:rsid w:val="00A36D40"/>
    <w:rsid w:val="00A37312"/>
    <w:rsid w:val="00A3760F"/>
    <w:rsid w:val="00A37890"/>
    <w:rsid w:val="00A37D2F"/>
    <w:rsid w:val="00A40CD8"/>
    <w:rsid w:val="00A42276"/>
    <w:rsid w:val="00A4283F"/>
    <w:rsid w:val="00A42AB5"/>
    <w:rsid w:val="00A42AB9"/>
    <w:rsid w:val="00A42B6E"/>
    <w:rsid w:val="00A42E1C"/>
    <w:rsid w:val="00A431E1"/>
    <w:rsid w:val="00A43550"/>
    <w:rsid w:val="00A445AE"/>
    <w:rsid w:val="00A44747"/>
    <w:rsid w:val="00A44DF7"/>
    <w:rsid w:val="00A45137"/>
    <w:rsid w:val="00A452FE"/>
    <w:rsid w:val="00A45394"/>
    <w:rsid w:val="00A455C0"/>
    <w:rsid w:val="00A4593D"/>
    <w:rsid w:val="00A45D0B"/>
    <w:rsid w:val="00A4659C"/>
    <w:rsid w:val="00A4702B"/>
    <w:rsid w:val="00A47685"/>
    <w:rsid w:val="00A476D8"/>
    <w:rsid w:val="00A47BD5"/>
    <w:rsid w:val="00A47CD5"/>
    <w:rsid w:val="00A501DF"/>
    <w:rsid w:val="00A502ED"/>
    <w:rsid w:val="00A50A12"/>
    <w:rsid w:val="00A50C68"/>
    <w:rsid w:val="00A50CD8"/>
    <w:rsid w:val="00A51A1B"/>
    <w:rsid w:val="00A51C44"/>
    <w:rsid w:val="00A51CBB"/>
    <w:rsid w:val="00A52742"/>
    <w:rsid w:val="00A529C0"/>
    <w:rsid w:val="00A534F6"/>
    <w:rsid w:val="00A53D09"/>
    <w:rsid w:val="00A55156"/>
    <w:rsid w:val="00A551AE"/>
    <w:rsid w:val="00A558F7"/>
    <w:rsid w:val="00A55DF4"/>
    <w:rsid w:val="00A55E62"/>
    <w:rsid w:val="00A55F9D"/>
    <w:rsid w:val="00A56019"/>
    <w:rsid w:val="00A564DC"/>
    <w:rsid w:val="00A578EC"/>
    <w:rsid w:val="00A57B07"/>
    <w:rsid w:val="00A60462"/>
    <w:rsid w:val="00A608EE"/>
    <w:rsid w:val="00A60A9D"/>
    <w:rsid w:val="00A60C84"/>
    <w:rsid w:val="00A61010"/>
    <w:rsid w:val="00A61091"/>
    <w:rsid w:val="00A612E1"/>
    <w:rsid w:val="00A6148E"/>
    <w:rsid w:val="00A61DFA"/>
    <w:rsid w:val="00A62A1B"/>
    <w:rsid w:val="00A63093"/>
    <w:rsid w:val="00A635E6"/>
    <w:rsid w:val="00A64C1B"/>
    <w:rsid w:val="00A64C53"/>
    <w:rsid w:val="00A64C89"/>
    <w:rsid w:val="00A651D3"/>
    <w:rsid w:val="00A65C57"/>
    <w:rsid w:val="00A65D94"/>
    <w:rsid w:val="00A65D99"/>
    <w:rsid w:val="00A6603D"/>
    <w:rsid w:val="00A660A5"/>
    <w:rsid w:val="00A66412"/>
    <w:rsid w:val="00A670B3"/>
    <w:rsid w:val="00A671DB"/>
    <w:rsid w:val="00A67AAD"/>
    <w:rsid w:val="00A67CBD"/>
    <w:rsid w:val="00A67CE7"/>
    <w:rsid w:val="00A67CF9"/>
    <w:rsid w:val="00A67F09"/>
    <w:rsid w:val="00A70ABC"/>
    <w:rsid w:val="00A70CCE"/>
    <w:rsid w:val="00A70E5D"/>
    <w:rsid w:val="00A71334"/>
    <w:rsid w:val="00A71628"/>
    <w:rsid w:val="00A7198D"/>
    <w:rsid w:val="00A720E6"/>
    <w:rsid w:val="00A72114"/>
    <w:rsid w:val="00A7259E"/>
    <w:rsid w:val="00A7281A"/>
    <w:rsid w:val="00A72EAD"/>
    <w:rsid w:val="00A73197"/>
    <w:rsid w:val="00A73610"/>
    <w:rsid w:val="00A73916"/>
    <w:rsid w:val="00A73AFE"/>
    <w:rsid w:val="00A73D97"/>
    <w:rsid w:val="00A73DED"/>
    <w:rsid w:val="00A74689"/>
    <w:rsid w:val="00A760BE"/>
    <w:rsid w:val="00A76410"/>
    <w:rsid w:val="00A764BB"/>
    <w:rsid w:val="00A76589"/>
    <w:rsid w:val="00A76AB6"/>
    <w:rsid w:val="00A76B00"/>
    <w:rsid w:val="00A7702A"/>
    <w:rsid w:val="00A77276"/>
    <w:rsid w:val="00A77745"/>
    <w:rsid w:val="00A77C54"/>
    <w:rsid w:val="00A800B9"/>
    <w:rsid w:val="00A80D83"/>
    <w:rsid w:val="00A810DC"/>
    <w:rsid w:val="00A812B8"/>
    <w:rsid w:val="00A812D7"/>
    <w:rsid w:val="00A81CF9"/>
    <w:rsid w:val="00A81E9C"/>
    <w:rsid w:val="00A82431"/>
    <w:rsid w:val="00A82B5A"/>
    <w:rsid w:val="00A83342"/>
    <w:rsid w:val="00A8354F"/>
    <w:rsid w:val="00A83E83"/>
    <w:rsid w:val="00A840CD"/>
    <w:rsid w:val="00A84C04"/>
    <w:rsid w:val="00A84CB7"/>
    <w:rsid w:val="00A84DCC"/>
    <w:rsid w:val="00A84EEA"/>
    <w:rsid w:val="00A85D49"/>
    <w:rsid w:val="00A85E58"/>
    <w:rsid w:val="00A8623D"/>
    <w:rsid w:val="00A868A5"/>
    <w:rsid w:val="00A87223"/>
    <w:rsid w:val="00A87259"/>
    <w:rsid w:val="00A87D9F"/>
    <w:rsid w:val="00A87F68"/>
    <w:rsid w:val="00A90079"/>
    <w:rsid w:val="00A90C86"/>
    <w:rsid w:val="00A913B0"/>
    <w:rsid w:val="00A914CE"/>
    <w:rsid w:val="00A91C0F"/>
    <w:rsid w:val="00A91F84"/>
    <w:rsid w:val="00A92168"/>
    <w:rsid w:val="00A9264E"/>
    <w:rsid w:val="00A92769"/>
    <w:rsid w:val="00A92FE6"/>
    <w:rsid w:val="00A93884"/>
    <w:rsid w:val="00A944A4"/>
    <w:rsid w:val="00A949BD"/>
    <w:rsid w:val="00A94B75"/>
    <w:rsid w:val="00A94CA5"/>
    <w:rsid w:val="00A94E97"/>
    <w:rsid w:val="00A957F9"/>
    <w:rsid w:val="00A95CBC"/>
    <w:rsid w:val="00A962C2"/>
    <w:rsid w:val="00A9633F"/>
    <w:rsid w:val="00A9665A"/>
    <w:rsid w:val="00A9672C"/>
    <w:rsid w:val="00A97765"/>
    <w:rsid w:val="00AA0264"/>
    <w:rsid w:val="00AA0776"/>
    <w:rsid w:val="00AA111C"/>
    <w:rsid w:val="00AA1267"/>
    <w:rsid w:val="00AA174A"/>
    <w:rsid w:val="00AA1A82"/>
    <w:rsid w:val="00AA1CD1"/>
    <w:rsid w:val="00AA2293"/>
    <w:rsid w:val="00AA23D3"/>
    <w:rsid w:val="00AA406D"/>
    <w:rsid w:val="00AA4488"/>
    <w:rsid w:val="00AA49A4"/>
    <w:rsid w:val="00AA4B9A"/>
    <w:rsid w:val="00AA4D88"/>
    <w:rsid w:val="00AA5211"/>
    <w:rsid w:val="00AA590C"/>
    <w:rsid w:val="00AA5A6C"/>
    <w:rsid w:val="00AA6743"/>
    <w:rsid w:val="00AA6D16"/>
    <w:rsid w:val="00AA6E6E"/>
    <w:rsid w:val="00AA732C"/>
    <w:rsid w:val="00AA768B"/>
    <w:rsid w:val="00AA7743"/>
    <w:rsid w:val="00AB0389"/>
    <w:rsid w:val="00AB03A7"/>
    <w:rsid w:val="00AB16F6"/>
    <w:rsid w:val="00AB1DC7"/>
    <w:rsid w:val="00AB2264"/>
    <w:rsid w:val="00AB29BF"/>
    <w:rsid w:val="00AB29F3"/>
    <w:rsid w:val="00AB2C7E"/>
    <w:rsid w:val="00AB2F8A"/>
    <w:rsid w:val="00AB35A2"/>
    <w:rsid w:val="00AB37AF"/>
    <w:rsid w:val="00AB3E06"/>
    <w:rsid w:val="00AB3F9A"/>
    <w:rsid w:val="00AB47BE"/>
    <w:rsid w:val="00AB4A0A"/>
    <w:rsid w:val="00AB54D3"/>
    <w:rsid w:val="00AB57BC"/>
    <w:rsid w:val="00AB5D9A"/>
    <w:rsid w:val="00AB5F9E"/>
    <w:rsid w:val="00AB6064"/>
    <w:rsid w:val="00AB60C6"/>
    <w:rsid w:val="00AB666D"/>
    <w:rsid w:val="00AB67BB"/>
    <w:rsid w:val="00AB6C4D"/>
    <w:rsid w:val="00AB7394"/>
    <w:rsid w:val="00AB7973"/>
    <w:rsid w:val="00AB79EE"/>
    <w:rsid w:val="00AB7E19"/>
    <w:rsid w:val="00AB7E20"/>
    <w:rsid w:val="00AC01DD"/>
    <w:rsid w:val="00AC0292"/>
    <w:rsid w:val="00AC02A9"/>
    <w:rsid w:val="00AC09A2"/>
    <w:rsid w:val="00AC0D82"/>
    <w:rsid w:val="00AC1627"/>
    <w:rsid w:val="00AC16F0"/>
    <w:rsid w:val="00AC2547"/>
    <w:rsid w:val="00AC2FB9"/>
    <w:rsid w:val="00AC3755"/>
    <w:rsid w:val="00AC3893"/>
    <w:rsid w:val="00AC4249"/>
    <w:rsid w:val="00AC43F8"/>
    <w:rsid w:val="00AC4ADC"/>
    <w:rsid w:val="00AC501D"/>
    <w:rsid w:val="00AC5307"/>
    <w:rsid w:val="00AC593E"/>
    <w:rsid w:val="00AC5CA2"/>
    <w:rsid w:val="00AC6831"/>
    <w:rsid w:val="00AC6EB5"/>
    <w:rsid w:val="00AC7660"/>
    <w:rsid w:val="00AD0925"/>
    <w:rsid w:val="00AD0973"/>
    <w:rsid w:val="00AD0C97"/>
    <w:rsid w:val="00AD11A3"/>
    <w:rsid w:val="00AD1526"/>
    <w:rsid w:val="00AD16C5"/>
    <w:rsid w:val="00AD1A34"/>
    <w:rsid w:val="00AD1B77"/>
    <w:rsid w:val="00AD1D4A"/>
    <w:rsid w:val="00AD2474"/>
    <w:rsid w:val="00AD24BC"/>
    <w:rsid w:val="00AD2DFD"/>
    <w:rsid w:val="00AD392E"/>
    <w:rsid w:val="00AD3C53"/>
    <w:rsid w:val="00AD4AE4"/>
    <w:rsid w:val="00AD4DAB"/>
    <w:rsid w:val="00AD5D3A"/>
    <w:rsid w:val="00AD5EED"/>
    <w:rsid w:val="00AD642A"/>
    <w:rsid w:val="00AD6558"/>
    <w:rsid w:val="00AD67B8"/>
    <w:rsid w:val="00AD6F99"/>
    <w:rsid w:val="00AE0027"/>
    <w:rsid w:val="00AE0492"/>
    <w:rsid w:val="00AE0ADE"/>
    <w:rsid w:val="00AE17C7"/>
    <w:rsid w:val="00AE1CC0"/>
    <w:rsid w:val="00AE242F"/>
    <w:rsid w:val="00AE24A6"/>
    <w:rsid w:val="00AE2596"/>
    <w:rsid w:val="00AE2795"/>
    <w:rsid w:val="00AE3164"/>
    <w:rsid w:val="00AE37A8"/>
    <w:rsid w:val="00AE3C86"/>
    <w:rsid w:val="00AE3D59"/>
    <w:rsid w:val="00AE41B5"/>
    <w:rsid w:val="00AE47CE"/>
    <w:rsid w:val="00AE5128"/>
    <w:rsid w:val="00AE523F"/>
    <w:rsid w:val="00AE5615"/>
    <w:rsid w:val="00AE5781"/>
    <w:rsid w:val="00AE5F3C"/>
    <w:rsid w:val="00AE69BE"/>
    <w:rsid w:val="00AE6BB8"/>
    <w:rsid w:val="00AE6F41"/>
    <w:rsid w:val="00AE7136"/>
    <w:rsid w:val="00AE724C"/>
    <w:rsid w:val="00AE73EB"/>
    <w:rsid w:val="00AE78B4"/>
    <w:rsid w:val="00AE7953"/>
    <w:rsid w:val="00AF01AA"/>
    <w:rsid w:val="00AF01BE"/>
    <w:rsid w:val="00AF0830"/>
    <w:rsid w:val="00AF0A51"/>
    <w:rsid w:val="00AF0C3A"/>
    <w:rsid w:val="00AF1260"/>
    <w:rsid w:val="00AF1569"/>
    <w:rsid w:val="00AF1BEB"/>
    <w:rsid w:val="00AF20C5"/>
    <w:rsid w:val="00AF24BB"/>
    <w:rsid w:val="00AF2503"/>
    <w:rsid w:val="00AF2AC6"/>
    <w:rsid w:val="00AF3584"/>
    <w:rsid w:val="00AF3A55"/>
    <w:rsid w:val="00AF4040"/>
    <w:rsid w:val="00AF452F"/>
    <w:rsid w:val="00AF45B8"/>
    <w:rsid w:val="00AF4B15"/>
    <w:rsid w:val="00AF5758"/>
    <w:rsid w:val="00AF5C76"/>
    <w:rsid w:val="00AF5F5F"/>
    <w:rsid w:val="00AF649B"/>
    <w:rsid w:val="00AF6E19"/>
    <w:rsid w:val="00AF7545"/>
    <w:rsid w:val="00AF7F4E"/>
    <w:rsid w:val="00B000C0"/>
    <w:rsid w:val="00B00236"/>
    <w:rsid w:val="00B00B58"/>
    <w:rsid w:val="00B00FC8"/>
    <w:rsid w:val="00B010DC"/>
    <w:rsid w:val="00B011FC"/>
    <w:rsid w:val="00B01C38"/>
    <w:rsid w:val="00B024EB"/>
    <w:rsid w:val="00B02820"/>
    <w:rsid w:val="00B02C88"/>
    <w:rsid w:val="00B02F40"/>
    <w:rsid w:val="00B03239"/>
    <w:rsid w:val="00B032D9"/>
    <w:rsid w:val="00B03465"/>
    <w:rsid w:val="00B03512"/>
    <w:rsid w:val="00B03FA2"/>
    <w:rsid w:val="00B0440E"/>
    <w:rsid w:val="00B04E82"/>
    <w:rsid w:val="00B054A0"/>
    <w:rsid w:val="00B05C60"/>
    <w:rsid w:val="00B05F94"/>
    <w:rsid w:val="00B0612B"/>
    <w:rsid w:val="00B064DF"/>
    <w:rsid w:val="00B06928"/>
    <w:rsid w:val="00B06BA9"/>
    <w:rsid w:val="00B06CC8"/>
    <w:rsid w:val="00B07115"/>
    <w:rsid w:val="00B0739B"/>
    <w:rsid w:val="00B1045C"/>
    <w:rsid w:val="00B10600"/>
    <w:rsid w:val="00B10A3C"/>
    <w:rsid w:val="00B10E23"/>
    <w:rsid w:val="00B11369"/>
    <w:rsid w:val="00B11453"/>
    <w:rsid w:val="00B11E3A"/>
    <w:rsid w:val="00B122DF"/>
    <w:rsid w:val="00B127C3"/>
    <w:rsid w:val="00B12D45"/>
    <w:rsid w:val="00B12E35"/>
    <w:rsid w:val="00B138AB"/>
    <w:rsid w:val="00B13B70"/>
    <w:rsid w:val="00B13EA6"/>
    <w:rsid w:val="00B14D7F"/>
    <w:rsid w:val="00B14E73"/>
    <w:rsid w:val="00B16E9D"/>
    <w:rsid w:val="00B16EFD"/>
    <w:rsid w:val="00B17095"/>
    <w:rsid w:val="00B171A3"/>
    <w:rsid w:val="00B17BA7"/>
    <w:rsid w:val="00B17BBE"/>
    <w:rsid w:val="00B17BD2"/>
    <w:rsid w:val="00B20225"/>
    <w:rsid w:val="00B2074A"/>
    <w:rsid w:val="00B2123F"/>
    <w:rsid w:val="00B2140B"/>
    <w:rsid w:val="00B21667"/>
    <w:rsid w:val="00B216CC"/>
    <w:rsid w:val="00B216F5"/>
    <w:rsid w:val="00B21813"/>
    <w:rsid w:val="00B21DF0"/>
    <w:rsid w:val="00B2209F"/>
    <w:rsid w:val="00B227B7"/>
    <w:rsid w:val="00B23898"/>
    <w:rsid w:val="00B23B37"/>
    <w:rsid w:val="00B25158"/>
    <w:rsid w:val="00B2532D"/>
    <w:rsid w:val="00B262C5"/>
    <w:rsid w:val="00B26536"/>
    <w:rsid w:val="00B26B6F"/>
    <w:rsid w:val="00B26BCB"/>
    <w:rsid w:val="00B27FE9"/>
    <w:rsid w:val="00B30124"/>
    <w:rsid w:val="00B30EE6"/>
    <w:rsid w:val="00B311F5"/>
    <w:rsid w:val="00B316A7"/>
    <w:rsid w:val="00B318CB"/>
    <w:rsid w:val="00B31A14"/>
    <w:rsid w:val="00B31BF0"/>
    <w:rsid w:val="00B31DFE"/>
    <w:rsid w:val="00B32679"/>
    <w:rsid w:val="00B337BD"/>
    <w:rsid w:val="00B34823"/>
    <w:rsid w:val="00B34D9B"/>
    <w:rsid w:val="00B35148"/>
    <w:rsid w:val="00B3559D"/>
    <w:rsid w:val="00B35662"/>
    <w:rsid w:val="00B35E36"/>
    <w:rsid w:val="00B363A8"/>
    <w:rsid w:val="00B36400"/>
    <w:rsid w:val="00B367BD"/>
    <w:rsid w:val="00B36BA4"/>
    <w:rsid w:val="00B36DB3"/>
    <w:rsid w:val="00B36E4A"/>
    <w:rsid w:val="00B37299"/>
    <w:rsid w:val="00B37B01"/>
    <w:rsid w:val="00B37E60"/>
    <w:rsid w:val="00B40ABD"/>
    <w:rsid w:val="00B40CC7"/>
    <w:rsid w:val="00B40EAB"/>
    <w:rsid w:val="00B40EC6"/>
    <w:rsid w:val="00B4167E"/>
    <w:rsid w:val="00B418DE"/>
    <w:rsid w:val="00B41B8B"/>
    <w:rsid w:val="00B41BF4"/>
    <w:rsid w:val="00B41C3F"/>
    <w:rsid w:val="00B41D8E"/>
    <w:rsid w:val="00B41FAE"/>
    <w:rsid w:val="00B41FC3"/>
    <w:rsid w:val="00B41FDA"/>
    <w:rsid w:val="00B4283B"/>
    <w:rsid w:val="00B42DD1"/>
    <w:rsid w:val="00B42EE1"/>
    <w:rsid w:val="00B42F09"/>
    <w:rsid w:val="00B4317B"/>
    <w:rsid w:val="00B4370D"/>
    <w:rsid w:val="00B438BA"/>
    <w:rsid w:val="00B43A0F"/>
    <w:rsid w:val="00B4411C"/>
    <w:rsid w:val="00B4432B"/>
    <w:rsid w:val="00B44485"/>
    <w:rsid w:val="00B448B7"/>
    <w:rsid w:val="00B454F9"/>
    <w:rsid w:val="00B45C74"/>
    <w:rsid w:val="00B45D98"/>
    <w:rsid w:val="00B463F4"/>
    <w:rsid w:val="00B469A9"/>
    <w:rsid w:val="00B46D2A"/>
    <w:rsid w:val="00B474F5"/>
    <w:rsid w:val="00B4770F"/>
    <w:rsid w:val="00B47BF4"/>
    <w:rsid w:val="00B504A5"/>
    <w:rsid w:val="00B51740"/>
    <w:rsid w:val="00B51935"/>
    <w:rsid w:val="00B52EA8"/>
    <w:rsid w:val="00B52FDA"/>
    <w:rsid w:val="00B53296"/>
    <w:rsid w:val="00B5334C"/>
    <w:rsid w:val="00B5405A"/>
    <w:rsid w:val="00B54426"/>
    <w:rsid w:val="00B548DB"/>
    <w:rsid w:val="00B55760"/>
    <w:rsid w:val="00B55C51"/>
    <w:rsid w:val="00B5611C"/>
    <w:rsid w:val="00B56737"/>
    <w:rsid w:val="00B56E15"/>
    <w:rsid w:val="00B57A4E"/>
    <w:rsid w:val="00B57A81"/>
    <w:rsid w:val="00B57BEA"/>
    <w:rsid w:val="00B57CBD"/>
    <w:rsid w:val="00B6008B"/>
    <w:rsid w:val="00B60A61"/>
    <w:rsid w:val="00B60CF1"/>
    <w:rsid w:val="00B61435"/>
    <w:rsid w:val="00B61524"/>
    <w:rsid w:val="00B6153A"/>
    <w:rsid w:val="00B623D0"/>
    <w:rsid w:val="00B62D2E"/>
    <w:rsid w:val="00B62D7C"/>
    <w:rsid w:val="00B63A89"/>
    <w:rsid w:val="00B6404B"/>
    <w:rsid w:val="00B644AD"/>
    <w:rsid w:val="00B64EA5"/>
    <w:rsid w:val="00B65767"/>
    <w:rsid w:val="00B65B88"/>
    <w:rsid w:val="00B65C3B"/>
    <w:rsid w:val="00B66879"/>
    <w:rsid w:val="00B668CB"/>
    <w:rsid w:val="00B66928"/>
    <w:rsid w:val="00B670E8"/>
    <w:rsid w:val="00B6759A"/>
    <w:rsid w:val="00B67702"/>
    <w:rsid w:val="00B67AF6"/>
    <w:rsid w:val="00B70217"/>
    <w:rsid w:val="00B70435"/>
    <w:rsid w:val="00B7061D"/>
    <w:rsid w:val="00B70BDE"/>
    <w:rsid w:val="00B721FF"/>
    <w:rsid w:val="00B7238C"/>
    <w:rsid w:val="00B72837"/>
    <w:rsid w:val="00B72AE7"/>
    <w:rsid w:val="00B72C48"/>
    <w:rsid w:val="00B739BF"/>
    <w:rsid w:val="00B73A68"/>
    <w:rsid w:val="00B73BF0"/>
    <w:rsid w:val="00B746BE"/>
    <w:rsid w:val="00B74ACE"/>
    <w:rsid w:val="00B74AEF"/>
    <w:rsid w:val="00B74C8A"/>
    <w:rsid w:val="00B753AB"/>
    <w:rsid w:val="00B75AE6"/>
    <w:rsid w:val="00B75FAA"/>
    <w:rsid w:val="00B76332"/>
    <w:rsid w:val="00B7671B"/>
    <w:rsid w:val="00B76AD3"/>
    <w:rsid w:val="00B76CAC"/>
    <w:rsid w:val="00B7791A"/>
    <w:rsid w:val="00B77F65"/>
    <w:rsid w:val="00B8031D"/>
    <w:rsid w:val="00B807DF"/>
    <w:rsid w:val="00B8103D"/>
    <w:rsid w:val="00B813D9"/>
    <w:rsid w:val="00B82417"/>
    <w:rsid w:val="00B82890"/>
    <w:rsid w:val="00B82FCA"/>
    <w:rsid w:val="00B83451"/>
    <w:rsid w:val="00B83943"/>
    <w:rsid w:val="00B83F12"/>
    <w:rsid w:val="00B842E5"/>
    <w:rsid w:val="00B84D94"/>
    <w:rsid w:val="00B85874"/>
    <w:rsid w:val="00B85CB3"/>
    <w:rsid w:val="00B85DAF"/>
    <w:rsid w:val="00B8602C"/>
    <w:rsid w:val="00B86237"/>
    <w:rsid w:val="00B86281"/>
    <w:rsid w:val="00B8654A"/>
    <w:rsid w:val="00B8696E"/>
    <w:rsid w:val="00B869DF"/>
    <w:rsid w:val="00B86A3B"/>
    <w:rsid w:val="00B86B98"/>
    <w:rsid w:val="00B870F6"/>
    <w:rsid w:val="00B8771C"/>
    <w:rsid w:val="00B87726"/>
    <w:rsid w:val="00B87CD0"/>
    <w:rsid w:val="00B87D73"/>
    <w:rsid w:val="00B87FD4"/>
    <w:rsid w:val="00B92692"/>
    <w:rsid w:val="00B92779"/>
    <w:rsid w:val="00B928EA"/>
    <w:rsid w:val="00B92AB7"/>
    <w:rsid w:val="00B92D8C"/>
    <w:rsid w:val="00B92FAD"/>
    <w:rsid w:val="00B9323D"/>
    <w:rsid w:val="00B93C82"/>
    <w:rsid w:val="00B941EB"/>
    <w:rsid w:val="00B945F8"/>
    <w:rsid w:val="00B94776"/>
    <w:rsid w:val="00B94FE5"/>
    <w:rsid w:val="00B9528A"/>
    <w:rsid w:val="00B95D8A"/>
    <w:rsid w:val="00B96047"/>
    <w:rsid w:val="00B964CF"/>
    <w:rsid w:val="00B967D6"/>
    <w:rsid w:val="00B96855"/>
    <w:rsid w:val="00B96CA3"/>
    <w:rsid w:val="00B96D1B"/>
    <w:rsid w:val="00B97A46"/>
    <w:rsid w:val="00B97BF1"/>
    <w:rsid w:val="00BA002B"/>
    <w:rsid w:val="00BA01B1"/>
    <w:rsid w:val="00BA060D"/>
    <w:rsid w:val="00BA0957"/>
    <w:rsid w:val="00BA0C1E"/>
    <w:rsid w:val="00BA0C4B"/>
    <w:rsid w:val="00BA1415"/>
    <w:rsid w:val="00BA18F4"/>
    <w:rsid w:val="00BA1DCE"/>
    <w:rsid w:val="00BA21A3"/>
    <w:rsid w:val="00BA233A"/>
    <w:rsid w:val="00BA2F8D"/>
    <w:rsid w:val="00BA2FDC"/>
    <w:rsid w:val="00BA3AC4"/>
    <w:rsid w:val="00BA4985"/>
    <w:rsid w:val="00BA4AE6"/>
    <w:rsid w:val="00BA4E35"/>
    <w:rsid w:val="00BA52ED"/>
    <w:rsid w:val="00BA5D49"/>
    <w:rsid w:val="00BA60AB"/>
    <w:rsid w:val="00BA6263"/>
    <w:rsid w:val="00BA65DF"/>
    <w:rsid w:val="00BA6C12"/>
    <w:rsid w:val="00BB0205"/>
    <w:rsid w:val="00BB120E"/>
    <w:rsid w:val="00BB1689"/>
    <w:rsid w:val="00BB1E01"/>
    <w:rsid w:val="00BB1E96"/>
    <w:rsid w:val="00BB24A2"/>
    <w:rsid w:val="00BB26BA"/>
    <w:rsid w:val="00BB27CC"/>
    <w:rsid w:val="00BB287A"/>
    <w:rsid w:val="00BB2F1B"/>
    <w:rsid w:val="00BB3662"/>
    <w:rsid w:val="00BB3BF3"/>
    <w:rsid w:val="00BB3EF5"/>
    <w:rsid w:val="00BB4DE6"/>
    <w:rsid w:val="00BB4F3B"/>
    <w:rsid w:val="00BB5292"/>
    <w:rsid w:val="00BB5551"/>
    <w:rsid w:val="00BB55D7"/>
    <w:rsid w:val="00BB5665"/>
    <w:rsid w:val="00BB5CCC"/>
    <w:rsid w:val="00BB5CE8"/>
    <w:rsid w:val="00BB6042"/>
    <w:rsid w:val="00BB6480"/>
    <w:rsid w:val="00BB652F"/>
    <w:rsid w:val="00BC007B"/>
    <w:rsid w:val="00BC071D"/>
    <w:rsid w:val="00BC143A"/>
    <w:rsid w:val="00BC19BF"/>
    <w:rsid w:val="00BC1CBD"/>
    <w:rsid w:val="00BC1E26"/>
    <w:rsid w:val="00BC1EA2"/>
    <w:rsid w:val="00BC229E"/>
    <w:rsid w:val="00BC272A"/>
    <w:rsid w:val="00BC3054"/>
    <w:rsid w:val="00BC3548"/>
    <w:rsid w:val="00BC3C8F"/>
    <w:rsid w:val="00BC4466"/>
    <w:rsid w:val="00BC4957"/>
    <w:rsid w:val="00BC4CCF"/>
    <w:rsid w:val="00BC4E24"/>
    <w:rsid w:val="00BC504B"/>
    <w:rsid w:val="00BC52D2"/>
    <w:rsid w:val="00BC5305"/>
    <w:rsid w:val="00BC568B"/>
    <w:rsid w:val="00BC58F3"/>
    <w:rsid w:val="00BC5D43"/>
    <w:rsid w:val="00BC6017"/>
    <w:rsid w:val="00BC64A6"/>
    <w:rsid w:val="00BC67FC"/>
    <w:rsid w:val="00BC68D2"/>
    <w:rsid w:val="00BC6AF1"/>
    <w:rsid w:val="00BC6BA9"/>
    <w:rsid w:val="00BC70B8"/>
    <w:rsid w:val="00BC76E1"/>
    <w:rsid w:val="00BC77DF"/>
    <w:rsid w:val="00BC7A63"/>
    <w:rsid w:val="00BC7A90"/>
    <w:rsid w:val="00BC7C1E"/>
    <w:rsid w:val="00BD02DE"/>
    <w:rsid w:val="00BD0524"/>
    <w:rsid w:val="00BD055E"/>
    <w:rsid w:val="00BD0EA7"/>
    <w:rsid w:val="00BD1423"/>
    <w:rsid w:val="00BD2409"/>
    <w:rsid w:val="00BD297F"/>
    <w:rsid w:val="00BD2C59"/>
    <w:rsid w:val="00BD2CA3"/>
    <w:rsid w:val="00BD2D8B"/>
    <w:rsid w:val="00BD328D"/>
    <w:rsid w:val="00BD3723"/>
    <w:rsid w:val="00BD38E5"/>
    <w:rsid w:val="00BD3B03"/>
    <w:rsid w:val="00BD40BB"/>
    <w:rsid w:val="00BD4338"/>
    <w:rsid w:val="00BD43C8"/>
    <w:rsid w:val="00BD506E"/>
    <w:rsid w:val="00BD52B1"/>
    <w:rsid w:val="00BD5ED9"/>
    <w:rsid w:val="00BD73EF"/>
    <w:rsid w:val="00BD7A47"/>
    <w:rsid w:val="00BD7AC1"/>
    <w:rsid w:val="00BD7E33"/>
    <w:rsid w:val="00BD7E95"/>
    <w:rsid w:val="00BE01EA"/>
    <w:rsid w:val="00BE036A"/>
    <w:rsid w:val="00BE0832"/>
    <w:rsid w:val="00BE1085"/>
    <w:rsid w:val="00BE120D"/>
    <w:rsid w:val="00BE123D"/>
    <w:rsid w:val="00BE1276"/>
    <w:rsid w:val="00BE15FD"/>
    <w:rsid w:val="00BE1D4B"/>
    <w:rsid w:val="00BE1E03"/>
    <w:rsid w:val="00BE23B1"/>
    <w:rsid w:val="00BE24CD"/>
    <w:rsid w:val="00BE26C1"/>
    <w:rsid w:val="00BE350C"/>
    <w:rsid w:val="00BE3AA6"/>
    <w:rsid w:val="00BE3ABD"/>
    <w:rsid w:val="00BE42EA"/>
    <w:rsid w:val="00BE4816"/>
    <w:rsid w:val="00BE483E"/>
    <w:rsid w:val="00BE4F57"/>
    <w:rsid w:val="00BE5519"/>
    <w:rsid w:val="00BE5FD3"/>
    <w:rsid w:val="00BE712C"/>
    <w:rsid w:val="00BE7663"/>
    <w:rsid w:val="00BE7901"/>
    <w:rsid w:val="00BE7C82"/>
    <w:rsid w:val="00BF0375"/>
    <w:rsid w:val="00BF041E"/>
    <w:rsid w:val="00BF04A9"/>
    <w:rsid w:val="00BF0933"/>
    <w:rsid w:val="00BF1100"/>
    <w:rsid w:val="00BF1479"/>
    <w:rsid w:val="00BF3145"/>
    <w:rsid w:val="00BF3805"/>
    <w:rsid w:val="00BF45EC"/>
    <w:rsid w:val="00BF464E"/>
    <w:rsid w:val="00BF47AB"/>
    <w:rsid w:val="00BF492F"/>
    <w:rsid w:val="00BF5000"/>
    <w:rsid w:val="00BF51C8"/>
    <w:rsid w:val="00BF57C4"/>
    <w:rsid w:val="00BF5DCF"/>
    <w:rsid w:val="00BF5F38"/>
    <w:rsid w:val="00BF61F2"/>
    <w:rsid w:val="00BF6A8A"/>
    <w:rsid w:val="00BF73B2"/>
    <w:rsid w:val="00BF76F8"/>
    <w:rsid w:val="00BF7BFE"/>
    <w:rsid w:val="00BF7F94"/>
    <w:rsid w:val="00C00B51"/>
    <w:rsid w:val="00C00F2C"/>
    <w:rsid w:val="00C0122A"/>
    <w:rsid w:val="00C0174A"/>
    <w:rsid w:val="00C01E2B"/>
    <w:rsid w:val="00C01F54"/>
    <w:rsid w:val="00C02356"/>
    <w:rsid w:val="00C02894"/>
    <w:rsid w:val="00C03144"/>
    <w:rsid w:val="00C03B27"/>
    <w:rsid w:val="00C0428C"/>
    <w:rsid w:val="00C07288"/>
    <w:rsid w:val="00C07D55"/>
    <w:rsid w:val="00C07E83"/>
    <w:rsid w:val="00C1050C"/>
    <w:rsid w:val="00C106CC"/>
    <w:rsid w:val="00C108F5"/>
    <w:rsid w:val="00C12CF7"/>
    <w:rsid w:val="00C135D6"/>
    <w:rsid w:val="00C14644"/>
    <w:rsid w:val="00C149CB"/>
    <w:rsid w:val="00C15370"/>
    <w:rsid w:val="00C15CD4"/>
    <w:rsid w:val="00C15F4C"/>
    <w:rsid w:val="00C1634E"/>
    <w:rsid w:val="00C1640E"/>
    <w:rsid w:val="00C171C4"/>
    <w:rsid w:val="00C1737E"/>
    <w:rsid w:val="00C208EC"/>
    <w:rsid w:val="00C21232"/>
    <w:rsid w:val="00C2140F"/>
    <w:rsid w:val="00C2189F"/>
    <w:rsid w:val="00C21CC8"/>
    <w:rsid w:val="00C21F39"/>
    <w:rsid w:val="00C21F54"/>
    <w:rsid w:val="00C220DE"/>
    <w:rsid w:val="00C2240D"/>
    <w:rsid w:val="00C22B38"/>
    <w:rsid w:val="00C22C78"/>
    <w:rsid w:val="00C22E3F"/>
    <w:rsid w:val="00C23306"/>
    <w:rsid w:val="00C2391A"/>
    <w:rsid w:val="00C23A90"/>
    <w:rsid w:val="00C23BF1"/>
    <w:rsid w:val="00C23C0A"/>
    <w:rsid w:val="00C23D0B"/>
    <w:rsid w:val="00C242F8"/>
    <w:rsid w:val="00C25287"/>
    <w:rsid w:val="00C25F9A"/>
    <w:rsid w:val="00C260E1"/>
    <w:rsid w:val="00C2640C"/>
    <w:rsid w:val="00C26769"/>
    <w:rsid w:val="00C26B9B"/>
    <w:rsid w:val="00C272AE"/>
    <w:rsid w:val="00C27430"/>
    <w:rsid w:val="00C27B83"/>
    <w:rsid w:val="00C27DAC"/>
    <w:rsid w:val="00C302D9"/>
    <w:rsid w:val="00C303AE"/>
    <w:rsid w:val="00C3044D"/>
    <w:rsid w:val="00C30689"/>
    <w:rsid w:val="00C30B85"/>
    <w:rsid w:val="00C311AE"/>
    <w:rsid w:val="00C3126F"/>
    <w:rsid w:val="00C314EE"/>
    <w:rsid w:val="00C31E5F"/>
    <w:rsid w:val="00C32047"/>
    <w:rsid w:val="00C32495"/>
    <w:rsid w:val="00C327DA"/>
    <w:rsid w:val="00C329D8"/>
    <w:rsid w:val="00C329FF"/>
    <w:rsid w:val="00C32AE1"/>
    <w:rsid w:val="00C32BCB"/>
    <w:rsid w:val="00C32DCC"/>
    <w:rsid w:val="00C3376A"/>
    <w:rsid w:val="00C34075"/>
    <w:rsid w:val="00C34089"/>
    <w:rsid w:val="00C34793"/>
    <w:rsid w:val="00C34A28"/>
    <w:rsid w:val="00C35337"/>
    <w:rsid w:val="00C3598A"/>
    <w:rsid w:val="00C35D7B"/>
    <w:rsid w:val="00C3608C"/>
    <w:rsid w:val="00C365E9"/>
    <w:rsid w:val="00C36D09"/>
    <w:rsid w:val="00C37726"/>
    <w:rsid w:val="00C37FD6"/>
    <w:rsid w:val="00C407CA"/>
    <w:rsid w:val="00C409D5"/>
    <w:rsid w:val="00C40DF7"/>
    <w:rsid w:val="00C4109C"/>
    <w:rsid w:val="00C4110C"/>
    <w:rsid w:val="00C412BF"/>
    <w:rsid w:val="00C41730"/>
    <w:rsid w:val="00C41A31"/>
    <w:rsid w:val="00C41D85"/>
    <w:rsid w:val="00C42DAD"/>
    <w:rsid w:val="00C42F95"/>
    <w:rsid w:val="00C4313D"/>
    <w:rsid w:val="00C439B3"/>
    <w:rsid w:val="00C43CA2"/>
    <w:rsid w:val="00C43ECE"/>
    <w:rsid w:val="00C4424F"/>
    <w:rsid w:val="00C444CE"/>
    <w:rsid w:val="00C44C9E"/>
    <w:rsid w:val="00C44D76"/>
    <w:rsid w:val="00C450B2"/>
    <w:rsid w:val="00C4536F"/>
    <w:rsid w:val="00C462E8"/>
    <w:rsid w:val="00C465A5"/>
    <w:rsid w:val="00C46AA1"/>
    <w:rsid w:val="00C46ABA"/>
    <w:rsid w:val="00C46BAB"/>
    <w:rsid w:val="00C475D0"/>
    <w:rsid w:val="00C47CBA"/>
    <w:rsid w:val="00C47D37"/>
    <w:rsid w:val="00C50192"/>
    <w:rsid w:val="00C5019E"/>
    <w:rsid w:val="00C508DB"/>
    <w:rsid w:val="00C5096D"/>
    <w:rsid w:val="00C51219"/>
    <w:rsid w:val="00C5178C"/>
    <w:rsid w:val="00C518F6"/>
    <w:rsid w:val="00C52496"/>
    <w:rsid w:val="00C52647"/>
    <w:rsid w:val="00C52A04"/>
    <w:rsid w:val="00C52C60"/>
    <w:rsid w:val="00C52CB6"/>
    <w:rsid w:val="00C53124"/>
    <w:rsid w:val="00C53666"/>
    <w:rsid w:val="00C53ADA"/>
    <w:rsid w:val="00C53B77"/>
    <w:rsid w:val="00C54036"/>
    <w:rsid w:val="00C548AA"/>
    <w:rsid w:val="00C54AE0"/>
    <w:rsid w:val="00C55387"/>
    <w:rsid w:val="00C55393"/>
    <w:rsid w:val="00C558AE"/>
    <w:rsid w:val="00C5615D"/>
    <w:rsid w:val="00C5642C"/>
    <w:rsid w:val="00C564EB"/>
    <w:rsid w:val="00C5657A"/>
    <w:rsid w:val="00C5686B"/>
    <w:rsid w:val="00C578C9"/>
    <w:rsid w:val="00C578DA"/>
    <w:rsid w:val="00C57D87"/>
    <w:rsid w:val="00C57FD5"/>
    <w:rsid w:val="00C60295"/>
    <w:rsid w:val="00C606AA"/>
    <w:rsid w:val="00C60B34"/>
    <w:rsid w:val="00C60E9B"/>
    <w:rsid w:val="00C61008"/>
    <w:rsid w:val="00C616A9"/>
    <w:rsid w:val="00C626F7"/>
    <w:rsid w:val="00C632E2"/>
    <w:rsid w:val="00C63B55"/>
    <w:rsid w:val="00C63BE2"/>
    <w:rsid w:val="00C63E0B"/>
    <w:rsid w:val="00C63E51"/>
    <w:rsid w:val="00C64495"/>
    <w:rsid w:val="00C6455C"/>
    <w:rsid w:val="00C64BAE"/>
    <w:rsid w:val="00C64D04"/>
    <w:rsid w:val="00C6558C"/>
    <w:rsid w:val="00C65F03"/>
    <w:rsid w:val="00C664F7"/>
    <w:rsid w:val="00C66D27"/>
    <w:rsid w:val="00C66DE3"/>
    <w:rsid w:val="00C6724E"/>
    <w:rsid w:val="00C676CD"/>
    <w:rsid w:val="00C70193"/>
    <w:rsid w:val="00C7041C"/>
    <w:rsid w:val="00C704B6"/>
    <w:rsid w:val="00C70F95"/>
    <w:rsid w:val="00C7127E"/>
    <w:rsid w:val="00C71F1F"/>
    <w:rsid w:val="00C726DA"/>
    <w:rsid w:val="00C72A81"/>
    <w:rsid w:val="00C73C08"/>
    <w:rsid w:val="00C74029"/>
    <w:rsid w:val="00C743FC"/>
    <w:rsid w:val="00C7453B"/>
    <w:rsid w:val="00C745CA"/>
    <w:rsid w:val="00C752F2"/>
    <w:rsid w:val="00C75843"/>
    <w:rsid w:val="00C75A40"/>
    <w:rsid w:val="00C75B82"/>
    <w:rsid w:val="00C763E2"/>
    <w:rsid w:val="00C768F0"/>
    <w:rsid w:val="00C76E96"/>
    <w:rsid w:val="00C777D7"/>
    <w:rsid w:val="00C77B8A"/>
    <w:rsid w:val="00C77CEA"/>
    <w:rsid w:val="00C804B6"/>
    <w:rsid w:val="00C80ACD"/>
    <w:rsid w:val="00C813A4"/>
    <w:rsid w:val="00C81428"/>
    <w:rsid w:val="00C819E8"/>
    <w:rsid w:val="00C81C7C"/>
    <w:rsid w:val="00C832AF"/>
    <w:rsid w:val="00C842EF"/>
    <w:rsid w:val="00C8439B"/>
    <w:rsid w:val="00C84ACE"/>
    <w:rsid w:val="00C84B63"/>
    <w:rsid w:val="00C85727"/>
    <w:rsid w:val="00C8584A"/>
    <w:rsid w:val="00C85FD6"/>
    <w:rsid w:val="00C86042"/>
    <w:rsid w:val="00C8616F"/>
    <w:rsid w:val="00C862DE"/>
    <w:rsid w:val="00C86325"/>
    <w:rsid w:val="00C8656D"/>
    <w:rsid w:val="00C903E4"/>
    <w:rsid w:val="00C90E78"/>
    <w:rsid w:val="00C913DB"/>
    <w:rsid w:val="00C9201A"/>
    <w:rsid w:val="00C92374"/>
    <w:rsid w:val="00C926D5"/>
    <w:rsid w:val="00C92756"/>
    <w:rsid w:val="00C9332F"/>
    <w:rsid w:val="00C93C12"/>
    <w:rsid w:val="00C9419B"/>
    <w:rsid w:val="00C94577"/>
    <w:rsid w:val="00C9464A"/>
    <w:rsid w:val="00C9497B"/>
    <w:rsid w:val="00C94E84"/>
    <w:rsid w:val="00C95A0E"/>
    <w:rsid w:val="00C96B80"/>
    <w:rsid w:val="00C97653"/>
    <w:rsid w:val="00C97EAB"/>
    <w:rsid w:val="00CA000E"/>
    <w:rsid w:val="00CA002A"/>
    <w:rsid w:val="00CA0056"/>
    <w:rsid w:val="00CA09DA"/>
    <w:rsid w:val="00CA0CC2"/>
    <w:rsid w:val="00CA14D2"/>
    <w:rsid w:val="00CA1D54"/>
    <w:rsid w:val="00CA20F7"/>
    <w:rsid w:val="00CA216E"/>
    <w:rsid w:val="00CA243D"/>
    <w:rsid w:val="00CA28C2"/>
    <w:rsid w:val="00CA2BEE"/>
    <w:rsid w:val="00CA2DF3"/>
    <w:rsid w:val="00CA3483"/>
    <w:rsid w:val="00CA3C62"/>
    <w:rsid w:val="00CA4002"/>
    <w:rsid w:val="00CA500A"/>
    <w:rsid w:val="00CA5710"/>
    <w:rsid w:val="00CA6077"/>
    <w:rsid w:val="00CA60D2"/>
    <w:rsid w:val="00CA648A"/>
    <w:rsid w:val="00CA64C8"/>
    <w:rsid w:val="00CA66F6"/>
    <w:rsid w:val="00CA6AA8"/>
    <w:rsid w:val="00CA6DD7"/>
    <w:rsid w:val="00CA6DFA"/>
    <w:rsid w:val="00CA6E76"/>
    <w:rsid w:val="00CA6F3D"/>
    <w:rsid w:val="00CA723B"/>
    <w:rsid w:val="00CA76BC"/>
    <w:rsid w:val="00CB00AB"/>
    <w:rsid w:val="00CB0566"/>
    <w:rsid w:val="00CB07B5"/>
    <w:rsid w:val="00CB0A88"/>
    <w:rsid w:val="00CB0BB8"/>
    <w:rsid w:val="00CB0DF6"/>
    <w:rsid w:val="00CB14CC"/>
    <w:rsid w:val="00CB1BA1"/>
    <w:rsid w:val="00CB1FCB"/>
    <w:rsid w:val="00CB2261"/>
    <w:rsid w:val="00CB37F9"/>
    <w:rsid w:val="00CB3EDD"/>
    <w:rsid w:val="00CB4649"/>
    <w:rsid w:val="00CB4F29"/>
    <w:rsid w:val="00CB508D"/>
    <w:rsid w:val="00CB67D3"/>
    <w:rsid w:val="00CB6C26"/>
    <w:rsid w:val="00CB7398"/>
    <w:rsid w:val="00CB7465"/>
    <w:rsid w:val="00CB7536"/>
    <w:rsid w:val="00CB7A20"/>
    <w:rsid w:val="00CC0861"/>
    <w:rsid w:val="00CC14F0"/>
    <w:rsid w:val="00CC18D0"/>
    <w:rsid w:val="00CC1A2C"/>
    <w:rsid w:val="00CC2741"/>
    <w:rsid w:val="00CC290E"/>
    <w:rsid w:val="00CC29DF"/>
    <w:rsid w:val="00CC2B96"/>
    <w:rsid w:val="00CC2C58"/>
    <w:rsid w:val="00CC2CAE"/>
    <w:rsid w:val="00CC2E5F"/>
    <w:rsid w:val="00CC3100"/>
    <w:rsid w:val="00CC362F"/>
    <w:rsid w:val="00CC39B1"/>
    <w:rsid w:val="00CC3F16"/>
    <w:rsid w:val="00CC49DB"/>
    <w:rsid w:val="00CC52D3"/>
    <w:rsid w:val="00CC5C28"/>
    <w:rsid w:val="00CC5E48"/>
    <w:rsid w:val="00CC5F83"/>
    <w:rsid w:val="00CC60F1"/>
    <w:rsid w:val="00CC64BF"/>
    <w:rsid w:val="00CC67DC"/>
    <w:rsid w:val="00CC6C23"/>
    <w:rsid w:val="00CC6F85"/>
    <w:rsid w:val="00CC70CA"/>
    <w:rsid w:val="00CC7464"/>
    <w:rsid w:val="00CC7635"/>
    <w:rsid w:val="00CC7C65"/>
    <w:rsid w:val="00CC7DC2"/>
    <w:rsid w:val="00CC7F36"/>
    <w:rsid w:val="00CC7F7B"/>
    <w:rsid w:val="00CD01DC"/>
    <w:rsid w:val="00CD0DD9"/>
    <w:rsid w:val="00CD18A6"/>
    <w:rsid w:val="00CD19C4"/>
    <w:rsid w:val="00CD1EC3"/>
    <w:rsid w:val="00CD26C1"/>
    <w:rsid w:val="00CD292B"/>
    <w:rsid w:val="00CD2B35"/>
    <w:rsid w:val="00CD2DFB"/>
    <w:rsid w:val="00CD38A1"/>
    <w:rsid w:val="00CD3F30"/>
    <w:rsid w:val="00CD47E9"/>
    <w:rsid w:val="00CD49AF"/>
    <w:rsid w:val="00CD4AAA"/>
    <w:rsid w:val="00CD50E9"/>
    <w:rsid w:val="00CD5415"/>
    <w:rsid w:val="00CD55AB"/>
    <w:rsid w:val="00CD55D9"/>
    <w:rsid w:val="00CD59AF"/>
    <w:rsid w:val="00CD5C50"/>
    <w:rsid w:val="00CD656C"/>
    <w:rsid w:val="00CD66B3"/>
    <w:rsid w:val="00CD6DB2"/>
    <w:rsid w:val="00CD7219"/>
    <w:rsid w:val="00CD758D"/>
    <w:rsid w:val="00CD76D1"/>
    <w:rsid w:val="00CD77E9"/>
    <w:rsid w:val="00CD7AFA"/>
    <w:rsid w:val="00CD7DFF"/>
    <w:rsid w:val="00CE0148"/>
    <w:rsid w:val="00CE016D"/>
    <w:rsid w:val="00CE04AA"/>
    <w:rsid w:val="00CE0821"/>
    <w:rsid w:val="00CE0CC4"/>
    <w:rsid w:val="00CE152C"/>
    <w:rsid w:val="00CE1656"/>
    <w:rsid w:val="00CE1951"/>
    <w:rsid w:val="00CE1B3C"/>
    <w:rsid w:val="00CE1D9A"/>
    <w:rsid w:val="00CE25BC"/>
    <w:rsid w:val="00CE303C"/>
    <w:rsid w:val="00CE31B5"/>
    <w:rsid w:val="00CE3463"/>
    <w:rsid w:val="00CE3500"/>
    <w:rsid w:val="00CE39AA"/>
    <w:rsid w:val="00CE4BD6"/>
    <w:rsid w:val="00CE54E5"/>
    <w:rsid w:val="00CE555F"/>
    <w:rsid w:val="00CE5BD8"/>
    <w:rsid w:val="00CE62F9"/>
    <w:rsid w:val="00CE673C"/>
    <w:rsid w:val="00CE6B8A"/>
    <w:rsid w:val="00CE6D74"/>
    <w:rsid w:val="00CE7310"/>
    <w:rsid w:val="00CE73CE"/>
    <w:rsid w:val="00CE7528"/>
    <w:rsid w:val="00CE769F"/>
    <w:rsid w:val="00CE787B"/>
    <w:rsid w:val="00CE793C"/>
    <w:rsid w:val="00CE7958"/>
    <w:rsid w:val="00CE7C01"/>
    <w:rsid w:val="00CF07D8"/>
    <w:rsid w:val="00CF084D"/>
    <w:rsid w:val="00CF0F2B"/>
    <w:rsid w:val="00CF12FC"/>
    <w:rsid w:val="00CF18B8"/>
    <w:rsid w:val="00CF1941"/>
    <w:rsid w:val="00CF19D9"/>
    <w:rsid w:val="00CF1F8A"/>
    <w:rsid w:val="00CF2D37"/>
    <w:rsid w:val="00CF2E0B"/>
    <w:rsid w:val="00CF2E95"/>
    <w:rsid w:val="00CF2F29"/>
    <w:rsid w:val="00CF34EB"/>
    <w:rsid w:val="00CF36FE"/>
    <w:rsid w:val="00CF3E73"/>
    <w:rsid w:val="00CF414B"/>
    <w:rsid w:val="00CF44A8"/>
    <w:rsid w:val="00CF474A"/>
    <w:rsid w:val="00CF526E"/>
    <w:rsid w:val="00CF5572"/>
    <w:rsid w:val="00CF57D0"/>
    <w:rsid w:val="00CF588C"/>
    <w:rsid w:val="00CF5F07"/>
    <w:rsid w:val="00CF6A65"/>
    <w:rsid w:val="00CF6B26"/>
    <w:rsid w:val="00CF6F45"/>
    <w:rsid w:val="00CF744D"/>
    <w:rsid w:val="00CF7530"/>
    <w:rsid w:val="00CF798E"/>
    <w:rsid w:val="00CF7C3B"/>
    <w:rsid w:val="00D00A8E"/>
    <w:rsid w:val="00D00AEA"/>
    <w:rsid w:val="00D00C90"/>
    <w:rsid w:val="00D00D9C"/>
    <w:rsid w:val="00D01DAC"/>
    <w:rsid w:val="00D01E75"/>
    <w:rsid w:val="00D02C5F"/>
    <w:rsid w:val="00D030E9"/>
    <w:rsid w:val="00D046B3"/>
    <w:rsid w:val="00D047FE"/>
    <w:rsid w:val="00D04AF7"/>
    <w:rsid w:val="00D04BAB"/>
    <w:rsid w:val="00D04F83"/>
    <w:rsid w:val="00D054AA"/>
    <w:rsid w:val="00D05798"/>
    <w:rsid w:val="00D05E05"/>
    <w:rsid w:val="00D062CD"/>
    <w:rsid w:val="00D06378"/>
    <w:rsid w:val="00D06618"/>
    <w:rsid w:val="00D066F1"/>
    <w:rsid w:val="00D06BFA"/>
    <w:rsid w:val="00D0717F"/>
    <w:rsid w:val="00D0733E"/>
    <w:rsid w:val="00D078BE"/>
    <w:rsid w:val="00D10F48"/>
    <w:rsid w:val="00D11FD3"/>
    <w:rsid w:val="00D13358"/>
    <w:rsid w:val="00D134BD"/>
    <w:rsid w:val="00D136B7"/>
    <w:rsid w:val="00D13944"/>
    <w:rsid w:val="00D13E69"/>
    <w:rsid w:val="00D1463D"/>
    <w:rsid w:val="00D1494F"/>
    <w:rsid w:val="00D15B45"/>
    <w:rsid w:val="00D15C33"/>
    <w:rsid w:val="00D16207"/>
    <w:rsid w:val="00D16768"/>
    <w:rsid w:val="00D16DC9"/>
    <w:rsid w:val="00D171C0"/>
    <w:rsid w:val="00D17D6C"/>
    <w:rsid w:val="00D17F9E"/>
    <w:rsid w:val="00D20084"/>
    <w:rsid w:val="00D20A4E"/>
    <w:rsid w:val="00D20F29"/>
    <w:rsid w:val="00D210C6"/>
    <w:rsid w:val="00D21580"/>
    <w:rsid w:val="00D21E24"/>
    <w:rsid w:val="00D22091"/>
    <w:rsid w:val="00D22C74"/>
    <w:rsid w:val="00D2383C"/>
    <w:rsid w:val="00D23B49"/>
    <w:rsid w:val="00D23EF3"/>
    <w:rsid w:val="00D24117"/>
    <w:rsid w:val="00D24826"/>
    <w:rsid w:val="00D2489F"/>
    <w:rsid w:val="00D2497B"/>
    <w:rsid w:val="00D2506C"/>
    <w:rsid w:val="00D25C8B"/>
    <w:rsid w:val="00D25EBE"/>
    <w:rsid w:val="00D26BE0"/>
    <w:rsid w:val="00D26F14"/>
    <w:rsid w:val="00D2713A"/>
    <w:rsid w:val="00D275B8"/>
    <w:rsid w:val="00D27DC1"/>
    <w:rsid w:val="00D27EFE"/>
    <w:rsid w:val="00D3024C"/>
    <w:rsid w:val="00D30857"/>
    <w:rsid w:val="00D30861"/>
    <w:rsid w:val="00D318B2"/>
    <w:rsid w:val="00D31B20"/>
    <w:rsid w:val="00D31FE6"/>
    <w:rsid w:val="00D32043"/>
    <w:rsid w:val="00D3236C"/>
    <w:rsid w:val="00D3296C"/>
    <w:rsid w:val="00D32B07"/>
    <w:rsid w:val="00D3387E"/>
    <w:rsid w:val="00D33BF7"/>
    <w:rsid w:val="00D33C6C"/>
    <w:rsid w:val="00D33EDF"/>
    <w:rsid w:val="00D3436D"/>
    <w:rsid w:val="00D34426"/>
    <w:rsid w:val="00D345E5"/>
    <w:rsid w:val="00D3460F"/>
    <w:rsid w:val="00D34D3F"/>
    <w:rsid w:val="00D352FE"/>
    <w:rsid w:val="00D3556C"/>
    <w:rsid w:val="00D3557A"/>
    <w:rsid w:val="00D35C5A"/>
    <w:rsid w:val="00D35E92"/>
    <w:rsid w:val="00D36180"/>
    <w:rsid w:val="00D36527"/>
    <w:rsid w:val="00D3674C"/>
    <w:rsid w:val="00D370E1"/>
    <w:rsid w:val="00D377F1"/>
    <w:rsid w:val="00D37871"/>
    <w:rsid w:val="00D37996"/>
    <w:rsid w:val="00D40752"/>
    <w:rsid w:val="00D40D01"/>
    <w:rsid w:val="00D42008"/>
    <w:rsid w:val="00D42311"/>
    <w:rsid w:val="00D42AAE"/>
    <w:rsid w:val="00D42B38"/>
    <w:rsid w:val="00D42B7B"/>
    <w:rsid w:val="00D42C34"/>
    <w:rsid w:val="00D42FDA"/>
    <w:rsid w:val="00D433C2"/>
    <w:rsid w:val="00D4354E"/>
    <w:rsid w:val="00D43C5C"/>
    <w:rsid w:val="00D4462C"/>
    <w:rsid w:val="00D4470B"/>
    <w:rsid w:val="00D448A8"/>
    <w:rsid w:val="00D44B23"/>
    <w:rsid w:val="00D45360"/>
    <w:rsid w:val="00D45B48"/>
    <w:rsid w:val="00D4637F"/>
    <w:rsid w:val="00D46DDD"/>
    <w:rsid w:val="00D46F35"/>
    <w:rsid w:val="00D47047"/>
    <w:rsid w:val="00D473DD"/>
    <w:rsid w:val="00D475E7"/>
    <w:rsid w:val="00D47670"/>
    <w:rsid w:val="00D47722"/>
    <w:rsid w:val="00D47BA6"/>
    <w:rsid w:val="00D47D2A"/>
    <w:rsid w:val="00D47F1C"/>
    <w:rsid w:val="00D47FD9"/>
    <w:rsid w:val="00D504A7"/>
    <w:rsid w:val="00D50903"/>
    <w:rsid w:val="00D50D09"/>
    <w:rsid w:val="00D50D7C"/>
    <w:rsid w:val="00D5111B"/>
    <w:rsid w:val="00D511FD"/>
    <w:rsid w:val="00D5140E"/>
    <w:rsid w:val="00D518C2"/>
    <w:rsid w:val="00D52698"/>
    <w:rsid w:val="00D527CF"/>
    <w:rsid w:val="00D53029"/>
    <w:rsid w:val="00D533EA"/>
    <w:rsid w:val="00D53A2E"/>
    <w:rsid w:val="00D54072"/>
    <w:rsid w:val="00D54AA0"/>
    <w:rsid w:val="00D54DF5"/>
    <w:rsid w:val="00D54F6C"/>
    <w:rsid w:val="00D55093"/>
    <w:rsid w:val="00D5519E"/>
    <w:rsid w:val="00D5547B"/>
    <w:rsid w:val="00D55A5A"/>
    <w:rsid w:val="00D55AC1"/>
    <w:rsid w:val="00D55C80"/>
    <w:rsid w:val="00D562F5"/>
    <w:rsid w:val="00D56469"/>
    <w:rsid w:val="00D564F9"/>
    <w:rsid w:val="00D56A20"/>
    <w:rsid w:val="00D56BE3"/>
    <w:rsid w:val="00D56D60"/>
    <w:rsid w:val="00D56F1D"/>
    <w:rsid w:val="00D57295"/>
    <w:rsid w:val="00D60098"/>
    <w:rsid w:val="00D60D61"/>
    <w:rsid w:val="00D61564"/>
    <w:rsid w:val="00D61817"/>
    <w:rsid w:val="00D61A22"/>
    <w:rsid w:val="00D61C0A"/>
    <w:rsid w:val="00D62092"/>
    <w:rsid w:val="00D621A8"/>
    <w:rsid w:val="00D622ED"/>
    <w:rsid w:val="00D625CA"/>
    <w:rsid w:val="00D6267A"/>
    <w:rsid w:val="00D62A68"/>
    <w:rsid w:val="00D63ACB"/>
    <w:rsid w:val="00D6427D"/>
    <w:rsid w:val="00D64496"/>
    <w:rsid w:val="00D651EE"/>
    <w:rsid w:val="00D65C30"/>
    <w:rsid w:val="00D66A90"/>
    <w:rsid w:val="00D66B43"/>
    <w:rsid w:val="00D66F9A"/>
    <w:rsid w:val="00D67775"/>
    <w:rsid w:val="00D67CE4"/>
    <w:rsid w:val="00D67F26"/>
    <w:rsid w:val="00D67FCB"/>
    <w:rsid w:val="00D706CF"/>
    <w:rsid w:val="00D7097D"/>
    <w:rsid w:val="00D718C3"/>
    <w:rsid w:val="00D71EA9"/>
    <w:rsid w:val="00D72A30"/>
    <w:rsid w:val="00D72D19"/>
    <w:rsid w:val="00D7347E"/>
    <w:rsid w:val="00D7365E"/>
    <w:rsid w:val="00D73D28"/>
    <w:rsid w:val="00D740CF"/>
    <w:rsid w:val="00D74179"/>
    <w:rsid w:val="00D745AB"/>
    <w:rsid w:val="00D74BE0"/>
    <w:rsid w:val="00D74C7D"/>
    <w:rsid w:val="00D762A8"/>
    <w:rsid w:val="00D765AF"/>
    <w:rsid w:val="00D76916"/>
    <w:rsid w:val="00D76ACE"/>
    <w:rsid w:val="00D76E04"/>
    <w:rsid w:val="00D76FD9"/>
    <w:rsid w:val="00D776CC"/>
    <w:rsid w:val="00D80742"/>
    <w:rsid w:val="00D81ABC"/>
    <w:rsid w:val="00D82285"/>
    <w:rsid w:val="00D82BA7"/>
    <w:rsid w:val="00D83456"/>
    <w:rsid w:val="00D83829"/>
    <w:rsid w:val="00D83CA1"/>
    <w:rsid w:val="00D83D16"/>
    <w:rsid w:val="00D8445C"/>
    <w:rsid w:val="00D844AB"/>
    <w:rsid w:val="00D84596"/>
    <w:rsid w:val="00D84C64"/>
    <w:rsid w:val="00D84E3E"/>
    <w:rsid w:val="00D85150"/>
    <w:rsid w:val="00D85991"/>
    <w:rsid w:val="00D859E7"/>
    <w:rsid w:val="00D85BC0"/>
    <w:rsid w:val="00D8614F"/>
    <w:rsid w:val="00D86497"/>
    <w:rsid w:val="00D86AB6"/>
    <w:rsid w:val="00D86F5D"/>
    <w:rsid w:val="00D8730E"/>
    <w:rsid w:val="00D873C3"/>
    <w:rsid w:val="00D8770A"/>
    <w:rsid w:val="00D87C32"/>
    <w:rsid w:val="00D9065D"/>
    <w:rsid w:val="00D90B40"/>
    <w:rsid w:val="00D90CB3"/>
    <w:rsid w:val="00D90EF5"/>
    <w:rsid w:val="00D90F2C"/>
    <w:rsid w:val="00D911BF"/>
    <w:rsid w:val="00D91649"/>
    <w:rsid w:val="00D91C88"/>
    <w:rsid w:val="00D920C9"/>
    <w:rsid w:val="00D923D4"/>
    <w:rsid w:val="00D93C5C"/>
    <w:rsid w:val="00D93E54"/>
    <w:rsid w:val="00D943C5"/>
    <w:rsid w:val="00D94498"/>
    <w:rsid w:val="00D9481F"/>
    <w:rsid w:val="00D94AC1"/>
    <w:rsid w:val="00D94BA8"/>
    <w:rsid w:val="00D94BD4"/>
    <w:rsid w:val="00D95050"/>
    <w:rsid w:val="00D95982"/>
    <w:rsid w:val="00D95B16"/>
    <w:rsid w:val="00D95E18"/>
    <w:rsid w:val="00D95FAA"/>
    <w:rsid w:val="00D9672D"/>
    <w:rsid w:val="00D9743A"/>
    <w:rsid w:val="00D97DCF"/>
    <w:rsid w:val="00DA0146"/>
    <w:rsid w:val="00DA0A43"/>
    <w:rsid w:val="00DA0B75"/>
    <w:rsid w:val="00DA18BF"/>
    <w:rsid w:val="00DA1934"/>
    <w:rsid w:val="00DA1BAE"/>
    <w:rsid w:val="00DA2707"/>
    <w:rsid w:val="00DA2D1C"/>
    <w:rsid w:val="00DA3FFC"/>
    <w:rsid w:val="00DA4E6F"/>
    <w:rsid w:val="00DA4FCD"/>
    <w:rsid w:val="00DA5223"/>
    <w:rsid w:val="00DA666C"/>
    <w:rsid w:val="00DA7110"/>
    <w:rsid w:val="00DA7646"/>
    <w:rsid w:val="00DA785A"/>
    <w:rsid w:val="00DB00B3"/>
    <w:rsid w:val="00DB0464"/>
    <w:rsid w:val="00DB07DD"/>
    <w:rsid w:val="00DB0B9A"/>
    <w:rsid w:val="00DB2156"/>
    <w:rsid w:val="00DB2948"/>
    <w:rsid w:val="00DB2F72"/>
    <w:rsid w:val="00DB2FF7"/>
    <w:rsid w:val="00DB34F7"/>
    <w:rsid w:val="00DB352D"/>
    <w:rsid w:val="00DB3E19"/>
    <w:rsid w:val="00DB40BB"/>
    <w:rsid w:val="00DB44F1"/>
    <w:rsid w:val="00DB47C1"/>
    <w:rsid w:val="00DB4961"/>
    <w:rsid w:val="00DB4AFD"/>
    <w:rsid w:val="00DB4D4A"/>
    <w:rsid w:val="00DB5688"/>
    <w:rsid w:val="00DB5BDB"/>
    <w:rsid w:val="00DB5E98"/>
    <w:rsid w:val="00DB7634"/>
    <w:rsid w:val="00DC08A0"/>
    <w:rsid w:val="00DC0D01"/>
    <w:rsid w:val="00DC0F7F"/>
    <w:rsid w:val="00DC142A"/>
    <w:rsid w:val="00DC1992"/>
    <w:rsid w:val="00DC1F74"/>
    <w:rsid w:val="00DC2015"/>
    <w:rsid w:val="00DC3A0F"/>
    <w:rsid w:val="00DC41AE"/>
    <w:rsid w:val="00DC4862"/>
    <w:rsid w:val="00DC4B50"/>
    <w:rsid w:val="00DC4C6C"/>
    <w:rsid w:val="00DC50DC"/>
    <w:rsid w:val="00DC5528"/>
    <w:rsid w:val="00DC552E"/>
    <w:rsid w:val="00DC5E32"/>
    <w:rsid w:val="00DC5F39"/>
    <w:rsid w:val="00DC665B"/>
    <w:rsid w:val="00DC6CB3"/>
    <w:rsid w:val="00DC7052"/>
    <w:rsid w:val="00DC7543"/>
    <w:rsid w:val="00DC759A"/>
    <w:rsid w:val="00DC79D3"/>
    <w:rsid w:val="00DD0324"/>
    <w:rsid w:val="00DD0AB7"/>
    <w:rsid w:val="00DD0C8F"/>
    <w:rsid w:val="00DD0E97"/>
    <w:rsid w:val="00DD10E3"/>
    <w:rsid w:val="00DD139D"/>
    <w:rsid w:val="00DD24B7"/>
    <w:rsid w:val="00DD24E8"/>
    <w:rsid w:val="00DD29AB"/>
    <w:rsid w:val="00DD2A14"/>
    <w:rsid w:val="00DD2D13"/>
    <w:rsid w:val="00DD323D"/>
    <w:rsid w:val="00DD3525"/>
    <w:rsid w:val="00DD384A"/>
    <w:rsid w:val="00DD412B"/>
    <w:rsid w:val="00DD4FA1"/>
    <w:rsid w:val="00DD6A74"/>
    <w:rsid w:val="00DD6E8C"/>
    <w:rsid w:val="00DD6FF7"/>
    <w:rsid w:val="00DD73D2"/>
    <w:rsid w:val="00DD76D7"/>
    <w:rsid w:val="00DD7CE3"/>
    <w:rsid w:val="00DE0113"/>
    <w:rsid w:val="00DE05C3"/>
    <w:rsid w:val="00DE0AEA"/>
    <w:rsid w:val="00DE0DAD"/>
    <w:rsid w:val="00DE0E71"/>
    <w:rsid w:val="00DE1170"/>
    <w:rsid w:val="00DE138E"/>
    <w:rsid w:val="00DE13BA"/>
    <w:rsid w:val="00DE1A30"/>
    <w:rsid w:val="00DE2032"/>
    <w:rsid w:val="00DE215C"/>
    <w:rsid w:val="00DE2450"/>
    <w:rsid w:val="00DE270A"/>
    <w:rsid w:val="00DE2D25"/>
    <w:rsid w:val="00DE3037"/>
    <w:rsid w:val="00DE306A"/>
    <w:rsid w:val="00DE32E5"/>
    <w:rsid w:val="00DE366D"/>
    <w:rsid w:val="00DE3BC8"/>
    <w:rsid w:val="00DE3DC1"/>
    <w:rsid w:val="00DE4290"/>
    <w:rsid w:val="00DE444D"/>
    <w:rsid w:val="00DE4601"/>
    <w:rsid w:val="00DE47AC"/>
    <w:rsid w:val="00DE4ACC"/>
    <w:rsid w:val="00DE552F"/>
    <w:rsid w:val="00DE6221"/>
    <w:rsid w:val="00DE66B9"/>
    <w:rsid w:val="00DE68C2"/>
    <w:rsid w:val="00DE71CB"/>
    <w:rsid w:val="00DE754F"/>
    <w:rsid w:val="00DE7A92"/>
    <w:rsid w:val="00DE7D6C"/>
    <w:rsid w:val="00DF07E7"/>
    <w:rsid w:val="00DF0A54"/>
    <w:rsid w:val="00DF0C0C"/>
    <w:rsid w:val="00DF122F"/>
    <w:rsid w:val="00DF15EA"/>
    <w:rsid w:val="00DF16A4"/>
    <w:rsid w:val="00DF1AF3"/>
    <w:rsid w:val="00DF1BC8"/>
    <w:rsid w:val="00DF1FF8"/>
    <w:rsid w:val="00DF22C2"/>
    <w:rsid w:val="00DF2335"/>
    <w:rsid w:val="00DF237F"/>
    <w:rsid w:val="00DF2B88"/>
    <w:rsid w:val="00DF3199"/>
    <w:rsid w:val="00DF34BE"/>
    <w:rsid w:val="00DF39F6"/>
    <w:rsid w:val="00DF3C44"/>
    <w:rsid w:val="00DF3E68"/>
    <w:rsid w:val="00DF43C0"/>
    <w:rsid w:val="00DF4406"/>
    <w:rsid w:val="00DF45EB"/>
    <w:rsid w:val="00DF4B0F"/>
    <w:rsid w:val="00DF4D26"/>
    <w:rsid w:val="00DF4DD9"/>
    <w:rsid w:val="00DF4FF7"/>
    <w:rsid w:val="00DF60FF"/>
    <w:rsid w:val="00DF6F4A"/>
    <w:rsid w:val="00DF70CB"/>
    <w:rsid w:val="00DF7221"/>
    <w:rsid w:val="00DF7AA9"/>
    <w:rsid w:val="00E00453"/>
    <w:rsid w:val="00E006C4"/>
    <w:rsid w:val="00E00960"/>
    <w:rsid w:val="00E00E55"/>
    <w:rsid w:val="00E012E2"/>
    <w:rsid w:val="00E013D3"/>
    <w:rsid w:val="00E01550"/>
    <w:rsid w:val="00E01AE6"/>
    <w:rsid w:val="00E01CBA"/>
    <w:rsid w:val="00E02396"/>
    <w:rsid w:val="00E0271A"/>
    <w:rsid w:val="00E0290E"/>
    <w:rsid w:val="00E03A7F"/>
    <w:rsid w:val="00E03BFC"/>
    <w:rsid w:val="00E040CA"/>
    <w:rsid w:val="00E048D8"/>
    <w:rsid w:val="00E04D0D"/>
    <w:rsid w:val="00E04EFB"/>
    <w:rsid w:val="00E04F84"/>
    <w:rsid w:val="00E05101"/>
    <w:rsid w:val="00E052E9"/>
    <w:rsid w:val="00E05C12"/>
    <w:rsid w:val="00E05C88"/>
    <w:rsid w:val="00E05DEC"/>
    <w:rsid w:val="00E06037"/>
    <w:rsid w:val="00E06055"/>
    <w:rsid w:val="00E066F0"/>
    <w:rsid w:val="00E06BC6"/>
    <w:rsid w:val="00E070E6"/>
    <w:rsid w:val="00E075D0"/>
    <w:rsid w:val="00E10AB8"/>
    <w:rsid w:val="00E10E67"/>
    <w:rsid w:val="00E117C1"/>
    <w:rsid w:val="00E131B4"/>
    <w:rsid w:val="00E133AC"/>
    <w:rsid w:val="00E13474"/>
    <w:rsid w:val="00E136EF"/>
    <w:rsid w:val="00E13835"/>
    <w:rsid w:val="00E13D1B"/>
    <w:rsid w:val="00E140F0"/>
    <w:rsid w:val="00E147FC"/>
    <w:rsid w:val="00E15038"/>
    <w:rsid w:val="00E1504B"/>
    <w:rsid w:val="00E15613"/>
    <w:rsid w:val="00E16050"/>
    <w:rsid w:val="00E166D8"/>
    <w:rsid w:val="00E16B47"/>
    <w:rsid w:val="00E16C0E"/>
    <w:rsid w:val="00E16C56"/>
    <w:rsid w:val="00E17740"/>
    <w:rsid w:val="00E17E4B"/>
    <w:rsid w:val="00E17F7E"/>
    <w:rsid w:val="00E202F6"/>
    <w:rsid w:val="00E20579"/>
    <w:rsid w:val="00E2065F"/>
    <w:rsid w:val="00E20745"/>
    <w:rsid w:val="00E208AA"/>
    <w:rsid w:val="00E20D7E"/>
    <w:rsid w:val="00E210AD"/>
    <w:rsid w:val="00E21706"/>
    <w:rsid w:val="00E21DE9"/>
    <w:rsid w:val="00E21FC3"/>
    <w:rsid w:val="00E22054"/>
    <w:rsid w:val="00E2245C"/>
    <w:rsid w:val="00E22534"/>
    <w:rsid w:val="00E234A2"/>
    <w:rsid w:val="00E23FF1"/>
    <w:rsid w:val="00E242FB"/>
    <w:rsid w:val="00E258D8"/>
    <w:rsid w:val="00E25C4E"/>
    <w:rsid w:val="00E260BD"/>
    <w:rsid w:val="00E26127"/>
    <w:rsid w:val="00E261D8"/>
    <w:rsid w:val="00E262BD"/>
    <w:rsid w:val="00E2638C"/>
    <w:rsid w:val="00E263ED"/>
    <w:rsid w:val="00E26D4D"/>
    <w:rsid w:val="00E270C5"/>
    <w:rsid w:val="00E272DC"/>
    <w:rsid w:val="00E303A3"/>
    <w:rsid w:val="00E3068A"/>
    <w:rsid w:val="00E30E16"/>
    <w:rsid w:val="00E318AE"/>
    <w:rsid w:val="00E31B1A"/>
    <w:rsid w:val="00E31DF5"/>
    <w:rsid w:val="00E3223F"/>
    <w:rsid w:val="00E3240E"/>
    <w:rsid w:val="00E3261C"/>
    <w:rsid w:val="00E32922"/>
    <w:rsid w:val="00E3324E"/>
    <w:rsid w:val="00E33940"/>
    <w:rsid w:val="00E33C25"/>
    <w:rsid w:val="00E3443D"/>
    <w:rsid w:val="00E34760"/>
    <w:rsid w:val="00E347AF"/>
    <w:rsid w:val="00E34BD7"/>
    <w:rsid w:val="00E35176"/>
    <w:rsid w:val="00E3562A"/>
    <w:rsid w:val="00E35694"/>
    <w:rsid w:val="00E36C54"/>
    <w:rsid w:val="00E36CF3"/>
    <w:rsid w:val="00E3708A"/>
    <w:rsid w:val="00E4039A"/>
    <w:rsid w:val="00E4052A"/>
    <w:rsid w:val="00E408F7"/>
    <w:rsid w:val="00E40947"/>
    <w:rsid w:val="00E4111D"/>
    <w:rsid w:val="00E4118A"/>
    <w:rsid w:val="00E4127C"/>
    <w:rsid w:val="00E422AE"/>
    <w:rsid w:val="00E42381"/>
    <w:rsid w:val="00E430AC"/>
    <w:rsid w:val="00E44839"/>
    <w:rsid w:val="00E44936"/>
    <w:rsid w:val="00E45134"/>
    <w:rsid w:val="00E458F3"/>
    <w:rsid w:val="00E45BF3"/>
    <w:rsid w:val="00E45F3C"/>
    <w:rsid w:val="00E463FC"/>
    <w:rsid w:val="00E46529"/>
    <w:rsid w:val="00E46DF6"/>
    <w:rsid w:val="00E46FAA"/>
    <w:rsid w:val="00E474A8"/>
    <w:rsid w:val="00E47776"/>
    <w:rsid w:val="00E47A88"/>
    <w:rsid w:val="00E47D27"/>
    <w:rsid w:val="00E5008D"/>
    <w:rsid w:val="00E500EC"/>
    <w:rsid w:val="00E500FE"/>
    <w:rsid w:val="00E50656"/>
    <w:rsid w:val="00E50673"/>
    <w:rsid w:val="00E51514"/>
    <w:rsid w:val="00E51755"/>
    <w:rsid w:val="00E51AFE"/>
    <w:rsid w:val="00E525C9"/>
    <w:rsid w:val="00E52A02"/>
    <w:rsid w:val="00E52A30"/>
    <w:rsid w:val="00E52C0D"/>
    <w:rsid w:val="00E53787"/>
    <w:rsid w:val="00E53E69"/>
    <w:rsid w:val="00E54663"/>
    <w:rsid w:val="00E5581D"/>
    <w:rsid w:val="00E565B8"/>
    <w:rsid w:val="00E56667"/>
    <w:rsid w:val="00E567DC"/>
    <w:rsid w:val="00E56A66"/>
    <w:rsid w:val="00E56B06"/>
    <w:rsid w:val="00E57012"/>
    <w:rsid w:val="00E573A9"/>
    <w:rsid w:val="00E574A8"/>
    <w:rsid w:val="00E57B2E"/>
    <w:rsid w:val="00E57B55"/>
    <w:rsid w:val="00E61A36"/>
    <w:rsid w:val="00E61AA8"/>
    <w:rsid w:val="00E61B5E"/>
    <w:rsid w:val="00E61BAF"/>
    <w:rsid w:val="00E6218B"/>
    <w:rsid w:val="00E622FD"/>
    <w:rsid w:val="00E628EF"/>
    <w:rsid w:val="00E62B8C"/>
    <w:rsid w:val="00E62EB6"/>
    <w:rsid w:val="00E63266"/>
    <w:rsid w:val="00E63440"/>
    <w:rsid w:val="00E636A3"/>
    <w:rsid w:val="00E6387E"/>
    <w:rsid w:val="00E63939"/>
    <w:rsid w:val="00E63F6A"/>
    <w:rsid w:val="00E64213"/>
    <w:rsid w:val="00E64BEC"/>
    <w:rsid w:val="00E64C65"/>
    <w:rsid w:val="00E65840"/>
    <w:rsid w:val="00E65851"/>
    <w:rsid w:val="00E65A7B"/>
    <w:rsid w:val="00E6607B"/>
    <w:rsid w:val="00E662CB"/>
    <w:rsid w:val="00E665D3"/>
    <w:rsid w:val="00E67CDD"/>
    <w:rsid w:val="00E67D14"/>
    <w:rsid w:val="00E7003A"/>
    <w:rsid w:val="00E70DC0"/>
    <w:rsid w:val="00E712D3"/>
    <w:rsid w:val="00E71BAC"/>
    <w:rsid w:val="00E71D1E"/>
    <w:rsid w:val="00E71EBE"/>
    <w:rsid w:val="00E72EAD"/>
    <w:rsid w:val="00E7313D"/>
    <w:rsid w:val="00E737D7"/>
    <w:rsid w:val="00E738E0"/>
    <w:rsid w:val="00E73BFF"/>
    <w:rsid w:val="00E73C91"/>
    <w:rsid w:val="00E74104"/>
    <w:rsid w:val="00E747DB"/>
    <w:rsid w:val="00E74B59"/>
    <w:rsid w:val="00E74F76"/>
    <w:rsid w:val="00E74FC1"/>
    <w:rsid w:val="00E75275"/>
    <w:rsid w:val="00E7551A"/>
    <w:rsid w:val="00E75798"/>
    <w:rsid w:val="00E75AC5"/>
    <w:rsid w:val="00E75B77"/>
    <w:rsid w:val="00E75E33"/>
    <w:rsid w:val="00E76208"/>
    <w:rsid w:val="00E7654A"/>
    <w:rsid w:val="00E76559"/>
    <w:rsid w:val="00E76DEF"/>
    <w:rsid w:val="00E76F1D"/>
    <w:rsid w:val="00E77785"/>
    <w:rsid w:val="00E801BC"/>
    <w:rsid w:val="00E80949"/>
    <w:rsid w:val="00E80F1C"/>
    <w:rsid w:val="00E811A7"/>
    <w:rsid w:val="00E81322"/>
    <w:rsid w:val="00E814AB"/>
    <w:rsid w:val="00E8163F"/>
    <w:rsid w:val="00E81763"/>
    <w:rsid w:val="00E82456"/>
    <w:rsid w:val="00E8264B"/>
    <w:rsid w:val="00E8297B"/>
    <w:rsid w:val="00E82AF9"/>
    <w:rsid w:val="00E82D47"/>
    <w:rsid w:val="00E82DA0"/>
    <w:rsid w:val="00E82E81"/>
    <w:rsid w:val="00E8314A"/>
    <w:rsid w:val="00E8333C"/>
    <w:rsid w:val="00E83636"/>
    <w:rsid w:val="00E8371D"/>
    <w:rsid w:val="00E83D0D"/>
    <w:rsid w:val="00E83D3B"/>
    <w:rsid w:val="00E84561"/>
    <w:rsid w:val="00E84780"/>
    <w:rsid w:val="00E84893"/>
    <w:rsid w:val="00E85055"/>
    <w:rsid w:val="00E85D44"/>
    <w:rsid w:val="00E85EE5"/>
    <w:rsid w:val="00E86375"/>
    <w:rsid w:val="00E86EEA"/>
    <w:rsid w:val="00E86FFA"/>
    <w:rsid w:val="00E877FA"/>
    <w:rsid w:val="00E878C4"/>
    <w:rsid w:val="00E90806"/>
    <w:rsid w:val="00E90EA8"/>
    <w:rsid w:val="00E912C3"/>
    <w:rsid w:val="00E91EA8"/>
    <w:rsid w:val="00E9230D"/>
    <w:rsid w:val="00E92BC1"/>
    <w:rsid w:val="00E92D38"/>
    <w:rsid w:val="00E94998"/>
    <w:rsid w:val="00E94F73"/>
    <w:rsid w:val="00E95268"/>
    <w:rsid w:val="00E954EF"/>
    <w:rsid w:val="00E95608"/>
    <w:rsid w:val="00E9598D"/>
    <w:rsid w:val="00E95B0F"/>
    <w:rsid w:val="00E96D06"/>
    <w:rsid w:val="00E970B0"/>
    <w:rsid w:val="00E9749C"/>
    <w:rsid w:val="00E97CBF"/>
    <w:rsid w:val="00EA1649"/>
    <w:rsid w:val="00EA17BD"/>
    <w:rsid w:val="00EA1947"/>
    <w:rsid w:val="00EA1D8D"/>
    <w:rsid w:val="00EA2102"/>
    <w:rsid w:val="00EA3742"/>
    <w:rsid w:val="00EA3F60"/>
    <w:rsid w:val="00EA4021"/>
    <w:rsid w:val="00EA4833"/>
    <w:rsid w:val="00EA49F9"/>
    <w:rsid w:val="00EA4F32"/>
    <w:rsid w:val="00EA4F5C"/>
    <w:rsid w:val="00EA5307"/>
    <w:rsid w:val="00EA5DF2"/>
    <w:rsid w:val="00EA6798"/>
    <w:rsid w:val="00EA69A8"/>
    <w:rsid w:val="00EA70DA"/>
    <w:rsid w:val="00EA76C4"/>
    <w:rsid w:val="00EA76FC"/>
    <w:rsid w:val="00EA78C0"/>
    <w:rsid w:val="00EB08CA"/>
    <w:rsid w:val="00EB1139"/>
    <w:rsid w:val="00EB25FF"/>
    <w:rsid w:val="00EB26FD"/>
    <w:rsid w:val="00EB2DBD"/>
    <w:rsid w:val="00EB396C"/>
    <w:rsid w:val="00EB3A74"/>
    <w:rsid w:val="00EB49BA"/>
    <w:rsid w:val="00EB5177"/>
    <w:rsid w:val="00EB526B"/>
    <w:rsid w:val="00EB6668"/>
    <w:rsid w:val="00EB6689"/>
    <w:rsid w:val="00EB6F0F"/>
    <w:rsid w:val="00EB796A"/>
    <w:rsid w:val="00EC03E9"/>
    <w:rsid w:val="00EC0F3B"/>
    <w:rsid w:val="00EC19C3"/>
    <w:rsid w:val="00EC1A4F"/>
    <w:rsid w:val="00EC2027"/>
    <w:rsid w:val="00EC2CDE"/>
    <w:rsid w:val="00EC2CE9"/>
    <w:rsid w:val="00EC3438"/>
    <w:rsid w:val="00EC3733"/>
    <w:rsid w:val="00EC3F41"/>
    <w:rsid w:val="00EC3FA5"/>
    <w:rsid w:val="00EC49AB"/>
    <w:rsid w:val="00EC5314"/>
    <w:rsid w:val="00EC53C0"/>
    <w:rsid w:val="00EC580E"/>
    <w:rsid w:val="00EC596C"/>
    <w:rsid w:val="00EC5E95"/>
    <w:rsid w:val="00EC643D"/>
    <w:rsid w:val="00EC6684"/>
    <w:rsid w:val="00EC6985"/>
    <w:rsid w:val="00EC715E"/>
    <w:rsid w:val="00EC7963"/>
    <w:rsid w:val="00ED0752"/>
    <w:rsid w:val="00ED0867"/>
    <w:rsid w:val="00ED0EDB"/>
    <w:rsid w:val="00ED1628"/>
    <w:rsid w:val="00ED1FFC"/>
    <w:rsid w:val="00ED234A"/>
    <w:rsid w:val="00ED284F"/>
    <w:rsid w:val="00ED3A84"/>
    <w:rsid w:val="00ED4138"/>
    <w:rsid w:val="00ED415B"/>
    <w:rsid w:val="00ED485A"/>
    <w:rsid w:val="00ED4B2E"/>
    <w:rsid w:val="00ED4B76"/>
    <w:rsid w:val="00ED5674"/>
    <w:rsid w:val="00ED6123"/>
    <w:rsid w:val="00ED6799"/>
    <w:rsid w:val="00ED6AEF"/>
    <w:rsid w:val="00ED7884"/>
    <w:rsid w:val="00ED7C61"/>
    <w:rsid w:val="00ED7E08"/>
    <w:rsid w:val="00EE0046"/>
    <w:rsid w:val="00EE0C7D"/>
    <w:rsid w:val="00EE10C5"/>
    <w:rsid w:val="00EE1204"/>
    <w:rsid w:val="00EE12CA"/>
    <w:rsid w:val="00EE16D7"/>
    <w:rsid w:val="00EE1B82"/>
    <w:rsid w:val="00EE1EC4"/>
    <w:rsid w:val="00EE2219"/>
    <w:rsid w:val="00EE2316"/>
    <w:rsid w:val="00EE23A9"/>
    <w:rsid w:val="00EE23F8"/>
    <w:rsid w:val="00EE2A75"/>
    <w:rsid w:val="00EE2FFD"/>
    <w:rsid w:val="00EE304F"/>
    <w:rsid w:val="00EE32B7"/>
    <w:rsid w:val="00EE3867"/>
    <w:rsid w:val="00EE3942"/>
    <w:rsid w:val="00EE3964"/>
    <w:rsid w:val="00EE3F1D"/>
    <w:rsid w:val="00EE4216"/>
    <w:rsid w:val="00EE44FC"/>
    <w:rsid w:val="00EE47AE"/>
    <w:rsid w:val="00EE4E9F"/>
    <w:rsid w:val="00EE50F3"/>
    <w:rsid w:val="00EE5A62"/>
    <w:rsid w:val="00EE5BC4"/>
    <w:rsid w:val="00EE60C9"/>
    <w:rsid w:val="00EE6204"/>
    <w:rsid w:val="00EE6457"/>
    <w:rsid w:val="00EE64F1"/>
    <w:rsid w:val="00EE669D"/>
    <w:rsid w:val="00EE6CB5"/>
    <w:rsid w:val="00EE722C"/>
    <w:rsid w:val="00EE7B4B"/>
    <w:rsid w:val="00EE7CE0"/>
    <w:rsid w:val="00EF055C"/>
    <w:rsid w:val="00EF086A"/>
    <w:rsid w:val="00EF1229"/>
    <w:rsid w:val="00EF1BF8"/>
    <w:rsid w:val="00EF1F74"/>
    <w:rsid w:val="00EF20C6"/>
    <w:rsid w:val="00EF24E8"/>
    <w:rsid w:val="00EF2DE3"/>
    <w:rsid w:val="00EF2E9E"/>
    <w:rsid w:val="00EF35DA"/>
    <w:rsid w:val="00EF3652"/>
    <w:rsid w:val="00EF36CA"/>
    <w:rsid w:val="00EF417D"/>
    <w:rsid w:val="00EF41EF"/>
    <w:rsid w:val="00EF4A52"/>
    <w:rsid w:val="00EF505B"/>
    <w:rsid w:val="00EF51DA"/>
    <w:rsid w:val="00EF5574"/>
    <w:rsid w:val="00EF57D9"/>
    <w:rsid w:val="00EF595E"/>
    <w:rsid w:val="00EF5C24"/>
    <w:rsid w:val="00EF607F"/>
    <w:rsid w:val="00EF6200"/>
    <w:rsid w:val="00EF67DE"/>
    <w:rsid w:val="00EF6A6D"/>
    <w:rsid w:val="00EF6B17"/>
    <w:rsid w:val="00EF6E9F"/>
    <w:rsid w:val="00EF77A6"/>
    <w:rsid w:val="00EF77AA"/>
    <w:rsid w:val="00EF7B16"/>
    <w:rsid w:val="00F000A5"/>
    <w:rsid w:val="00F00A33"/>
    <w:rsid w:val="00F00AE9"/>
    <w:rsid w:val="00F00ED2"/>
    <w:rsid w:val="00F01BBE"/>
    <w:rsid w:val="00F0223B"/>
    <w:rsid w:val="00F029A1"/>
    <w:rsid w:val="00F02C11"/>
    <w:rsid w:val="00F041EE"/>
    <w:rsid w:val="00F0474A"/>
    <w:rsid w:val="00F04CD1"/>
    <w:rsid w:val="00F056F2"/>
    <w:rsid w:val="00F058BA"/>
    <w:rsid w:val="00F05911"/>
    <w:rsid w:val="00F067B8"/>
    <w:rsid w:val="00F06975"/>
    <w:rsid w:val="00F06BBE"/>
    <w:rsid w:val="00F06DB6"/>
    <w:rsid w:val="00F06E9D"/>
    <w:rsid w:val="00F07CC5"/>
    <w:rsid w:val="00F07D2E"/>
    <w:rsid w:val="00F07F21"/>
    <w:rsid w:val="00F1039B"/>
    <w:rsid w:val="00F107D7"/>
    <w:rsid w:val="00F10C67"/>
    <w:rsid w:val="00F1167B"/>
    <w:rsid w:val="00F11948"/>
    <w:rsid w:val="00F11E94"/>
    <w:rsid w:val="00F126EC"/>
    <w:rsid w:val="00F12C29"/>
    <w:rsid w:val="00F12CE5"/>
    <w:rsid w:val="00F12EEE"/>
    <w:rsid w:val="00F1305E"/>
    <w:rsid w:val="00F13145"/>
    <w:rsid w:val="00F131EC"/>
    <w:rsid w:val="00F133C4"/>
    <w:rsid w:val="00F13503"/>
    <w:rsid w:val="00F135C0"/>
    <w:rsid w:val="00F13B54"/>
    <w:rsid w:val="00F13E0D"/>
    <w:rsid w:val="00F13FF9"/>
    <w:rsid w:val="00F14450"/>
    <w:rsid w:val="00F1470F"/>
    <w:rsid w:val="00F14938"/>
    <w:rsid w:val="00F14A6C"/>
    <w:rsid w:val="00F14AB0"/>
    <w:rsid w:val="00F16B9C"/>
    <w:rsid w:val="00F16E03"/>
    <w:rsid w:val="00F173EE"/>
    <w:rsid w:val="00F17B44"/>
    <w:rsid w:val="00F20A57"/>
    <w:rsid w:val="00F210AD"/>
    <w:rsid w:val="00F218CB"/>
    <w:rsid w:val="00F21EC2"/>
    <w:rsid w:val="00F22171"/>
    <w:rsid w:val="00F221D4"/>
    <w:rsid w:val="00F221E3"/>
    <w:rsid w:val="00F225FD"/>
    <w:rsid w:val="00F226D0"/>
    <w:rsid w:val="00F22C03"/>
    <w:rsid w:val="00F22C4A"/>
    <w:rsid w:val="00F23139"/>
    <w:rsid w:val="00F23D75"/>
    <w:rsid w:val="00F23E52"/>
    <w:rsid w:val="00F24422"/>
    <w:rsid w:val="00F24784"/>
    <w:rsid w:val="00F24B26"/>
    <w:rsid w:val="00F24CB9"/>
    <w:rsid w:val="00F26821"/>
    <w:rsid w:val="00F26D20"/>
    <w:rsid w:val="00F2715A"/>
    <w:rsid w:val="00F27735"/>
    <w:rsid w:val="00F277E0"/>
    <w:rsid w:val="00F278F6"/>
    <w:rsid w:val="00F27CE5"/>
    <w:rsid w:val="00F30346"/>
    <w:rsid w:val="00F30CA7"/>
    <w:rsid w:val="00F30F28"/>
    <w:rsid w:val="00F3103E"/>
    <w:rsid w:val="00F310A5"/>
    <w:rsid w:val="00F310CF"/>
    <w:rsid w:val="00F311EF"/>
    <w:rsid w:val="00F31595"/>
    <w:rsid w:val="00F32B1F"/>
    <w:rsid w:val="00F32B58"/>
    <w:rsid w:val="00F32D67"/>
    <w:rsid w:val="00F32E0E"/>
    <w:rsid w:val="00F32EF9"/>
    <w:rsid w:val="00F33B01"/>
    <w:rsid w:val="00F33B4F"/>
    <w:rsid w:val="00F34060"/>
    <w:rsid w:val="00F340D9"/>
    <w:rsid w:val="00F34112"/>
    <w:rsid w:val="00F342E0"/>
    <w:rsid w:val="00F347C1"/>
    <w:rsid w:val="00F35240"/>
    <w:rsid w:val="00F3579A"/>
    <w:rsid w:val="00F36A0A"/>
    <w:rsid w:val="00F36AC6"/>
    <w:rsid w:val="00F36B6A"/>
    <w:rsid w:val="00F3738E"/>
    <w:rsid w:val="00F37665"/>
    <w:rsid w:val="00F3778D"/>
    <w:rsid w:val="00F379EC"/>
    <w:rsid w:val="00F37BD3"/>
    <w:rsid w:val="00F40770"/>
    <w:rsid w:val="00F408BD"/>
    <w:rsid w:val="00F4092C"/>
    <w:rsid w:val="00F41008"/>
    <w:rsid w:val="00F41164"/>
    <w:rsid w:val="00F41786"/>
    <w:rsid w:val="00F4209C"/>
    <w:rsid w:val="00F420F5"/>
    <w:rsid w:val="00F422C1"/>
    <w:rsid w:val="00F42D67"/>
    <w:rsid w:val="00F43C80"/>
    <w:rsid w:val="00F44D86"/>
    <w:rsid w:val="00F44F9F"/>
    <w:rsid w:val="00F44FE5"/>
    <w:rsid w:val="00F452B4"/>
    <w:rsid w:val="00F4679C"/>
    <w:rsid w:val="00F4679F"/>
    <w:rsid w:val="00F469AD"/>
    <w:rsid w:val="00F4706B"/>
    <w:rsid w:val="00F47678"/>
    <w:rsid w:val="00F503EE"/>
    <w:rsid w:val="00F50D57"/>
    <w:rsid w:val="00F51104"/>
    <w:rsid w:val="00F5134B"/>
    <w:rsid w:val="00F51A62"/>
    <w:rsid w:val="00F5220F"/>
    <w:rsid w:val="00F5311E"/>
    <w:rsid w:val="00F533B2"/>
    <w:rsid w:val="00F53B3C"/>
    <w:rsid w:val="00F53B8F"/>
    <w:rsid w:val="00F53CA7"/>
    <w:rsid w:val="00F54071"/>
    <w:rsid w:val="00F5410D"/>
    <w:rsid w:val="00F5468C"/>
    <w:rsid w:val="00F5478D"/>
    <w:rsid w:val="00F54852"/>
    <w:rsid w:val="00F55167"/>
    <w:rsid w:val="00F55EB6"/>
    <w:rsid w:val="00F56281"/>
    <w:rsid w:val="00F56CC7"/>
    <w:rsid w:val="00F57CE9"/>
    <w:rsid w:val="00F6015A"/>
    <w:rsid w:val="00F6076E"/>
    <w:rsid w:val="00F60E63"/>
    <w:rsid w:val="00F60FE3"/>
    <w:rsid w:val="00F6168C"/>
    <w:rsid w:val="00F61BEE"/>
    <w:rsid w:val="00F62074"/>
    <w:rsid w:val="00F62496"/>
    <w:rsid w:val="00F62597"/>
    <w:rsid w:val="00F627A8"/>
    <w:rsid w:val="00F6299D"/>
    <w:rsid w:val="00F62C7E"/>
    <w:rsid w:val="00F62F74"/>
    <w:rsid w:val="00F6356B"/>
    <w:rsid w:val="00F63649"/>
    <w:rsid w:val="00F63910"/>
    <w:rsid w:val="00F64C57"/>
    <w:rsid w:val="00F65D9D"/>
    <w:rsid w:val="00F66C17"/>
    <w:rsid w:val="00F67D60"/>
    <w:rsid w:val="00F704DC"/>
    <w:rsid w:val="00F7116C"/>
    <w:rsid w:val="00F712B1"/>
    <w:rsid w:val="00F718F0"/>
    <w:rsid w:val="00F7245B"/>
    <w:rsid w:val="00F72480"/>
    <w:rsid w:val="00F726A3"/>
    <w:rsid w:val="00F7273B"/>
    <w:rsid w:val="00F72934"/>
    <w:rsid w:val="00F72A7C"/>
    <w:rsid w:val="00F72E9C"/>
    <w:rsid w:val="00F73016"/>
    <w:rsid w:val="00F73407"/>
    <w:rsid w:val="00F73422"/>
    <w:rsid w:val="00F735EF"/>
    <w:rsid w:val="00F7379F"/>
    <w:rsid w:val="00F7396C"/>
    <w:rsid w:val="00F73F77"/>
    <w:rsid w:val="00F74014"/>
    <w:rsid w:val="00F74CD4"/>
    <w:rsid w:val="00F74FF4"/>
    <w:rsid w:val="00F7595B"/>
    <w:rsid w:val="00F75A1D"/>
    <w:rsid w:val="00F75D34"/>
    <w:rsid w:val="00F764ED"/>
    <w:rsid w:val="00F769D3"/>
    <w:rsid w:val="00F776A4"/>
    <w:rsid w:val="00F77B8E"/>
    <w:rsid w:val="00F77E00"/>
    <w:rsid w:val="00F77E5B"/>
    <w:rsid w:val="00F800B8"/>
    <w:rsid w:val="00F8039E"/>
    <w:rsid w:val="00F8064E"/>
    <w:rsid w:val="00F80D17"/>
    <w:rsid w:val="00F80E55"/>
    <w:rsid w:val="00F81982"/>
    <w:rsid w:val="00F81C0B"/>
    <w:rsid w:val="00F8235F"/>
    <w:rsid w:val="00F823E1"/>
    <w:rsid w:val="00F82582"/>
    <w:rsid w:val="00F83BD7"/>
    <w:rsid w:val="00F83DC7"/>
    <w:rsid w:val="00F83E08"/>
    <w:rsid w:val="00F83E55"/>
    <w:rsid w:val="00F8485B"/>
    <w:rsid w:val="00F84D93"/>
    <w:rsid w:val="00F84F63"/>
    <w:rsid w:val="00F85AFB"/>
    <w:rsid w:val="00F861B1"/>
    <w:rsid w:val="00F868EE"/>
    <w:rsid w:val="00F86E01"/>
    <w:rsid w:val="00F8709C"/>
    <w:rsid w:val="00F90725"/>
    <w:rsid w:val="00F9156A"/>
    <w:rsid w:val="00F91AFE"/>
    <w:rsid w:val="00F91DB7"/>
    <w:rsid w:val="00F91F02"/>
    <w:rsid w:val="00F92BA5"/>
    <w:rsid w:val="00F92CBD"/>
    <w:rsid w:val="00F92F17"/>
    <w:rsid w:val="00F93131"/>
    <w:rsid w:val="00F93664"/>
    <w:rsid w:val="00F93A0A"/>
    <w:rsid w:val="00F93FCE"/>
    <w:rsid w:val="00F9408B"/>
    <w:rsid w:val="00F94326"/>
    <w:rsid w:val="00F95038"/>
    <w:rsid w:val="00F95381"/>
    <w:rsid w:val="00F957D4"/>
    <w:rsid w:val="00F96252"/>
    <w:rsid w:val="00F97121"/>
    <w:rsid w:val="00F972B8"/>
    <w:rsid w:val="00FA0B41"/>
    <w:rsid w:val="00FA0C91"/>
    <w:rsid w:val="00FA0CDC"/>
    <w:rsid w:val="00FA0CE2"/>
    <w:rsid w:val="00FA0D08"/>
    <w:rsid w:val="00FA0DF1"/>
    <w:rsid w:val="00FA0E0B"/>
    <w:rsid w:val="00FA1A21"/>
    <w:rsid w:val="00FA1A77"/>
    <w:rsid w:val="00FA1FA1"/>
    <w:rsid w:val="00FA248C"/>
    <w:rsid w:val="00FA2A74"/>
    <w:rsid w:val="00FA3687"/>
    <w:rsid w:val="00FA3887"/>
    <w:rsid w:val="00FA409B"/>
    <w:rsid w:val="00FA4643"/>
    <w:rsid w:val="00FA4D92"/>
    <w:rsid w:val="00FA4F5F"/>
    <w:rsid w:val="00FA62F8"/>
    <w:rsid w:val="00FA6367"/>
    <w:rsid w:val="00FA6604"/>
    <w:rsid w:val="00FA6C7E"/>
    <w:rsid w:val="00FA6D7E"/>
    <w:rsid w:val="00FA6E20"/>
    <w:rsid w:val="00FA7207"/>
    <w:rsid w:val="00FA7BE6"/>
    <w:rsid w:val="00FA7D2B"/>
    <w:rsid w:val="00FB073D"/>
    <w:rsid w:val="00FB195E"/>
    <w:rsid w:val="00FB2628"/>
    <w:rsid w:val="00FB31CD"/>
    <w:rsid w:val="00FB392B"/>
    <w:rsid w:val="00FB42E8"/>
    <w:rsid w:val="00FB4F7A"/>
    <w:rsid w:val="00FB5D07"/>
    <w:rsid w:val="00FB5F05"/>
    <w:rsid w:val="00FB61A4"/>
    <w:rsid w:val="00FB65CB"/>
    <w:rsid w:val="00FB69AB"/>
    <w:rsid w:val="00FB6EAE"/>
    <w:rsid w:val="00FB7BC4"/>
    <w:rsid w:val="00FB7C2B"/>
    <w:rsid w:val="00FB7CA3"/>
    <w:rsid w:val="00FB7E7C"/>
    <w:rsid w:val="00FB7F03"/>
    <w:rsid w:val="00FC0713"/>
    <w:rsid w:val="00FC10DF"/>
    <w:rsid w:val="00FC1BBE"/>
    <w:rsid w:val="00FC1C91"/>
    <w:rsid w:val="00FC1F18"/>
    <w:rsid w:val="00FC26DD"/>
    <w:rsid w:val="00FC2F6E"/>
    <w:rsid w:val="00FC3403"/>
    <w:rsid w:val="00FC3EC7"/>
    <w:rsid w:val="00FC4450"/>
    <w:rsid w:val="00FC48F6"/>
    <w:rsid w:val="00FC5130"/>
    <w:rsid w:val="00FC5181"/>
    <w:rsid w:val="00FC5A02"/>
    <w:rsid w:val="00FC5BB2"/>
    <w:rsid w:val="00FC5E7A"/>
    <w:rsid w:val="00FC61AF"/>
    <w:rsid w:val="00FC6316"/>
    <w:rsid w:val="00FC65A8"/>
    <w:rsid w:val="00FC66FB"/>
    <w:rsid w:val="00FC6717"/>
    <w:rsid w:val="00FC68AF"/>
    <w:rsid w:val="00FC68E0"/>
    <w:rsid w:val="00FC6926"/>
    <w:rsid w:val="00FC6ABA"/>
    <w:rsid w:val="00FC6B5F"/>
    <w:rsid w:val="00FC6C42"/>
    <w:rsid w:val="00FC6E9A"/>
    <w:rsid w:val="00FC7190"/>
    <w:rsid w:val="00FC71C8"/>
    <w:rsid w:val="00FC7363"/>
    <w:rsid w:val="00FC7A4B"/>
    <w:rsid w:val="00FC7B22"/>
    <w:rsid w:val="00FC7C7B"/>
    <w:rsid w:val="00FC7F38"/>
    <w:rsid w:val="00FD0038"/>
    <w:rsid w:val="00FD0E2C"/>
    <w:rsid w:val="00FD0F02"/>
    <w:rsid w:val="00FD11CB"/>
    <w:rsid w:val="00FD12CD"/>
    <w:rsid w:val="00FD1363"/>
    <w:rsid w:val="00FD16EC"/>
    <w:rsid w:val="00FD1D77"/>
    <w:rsid w:val="00FD2529"/>
    <w:rsid w:val="00FD2D53"/>
    <w:rsid w:val="00FD2DA6"/>
    <w:rsid w:val="00FD34B5"/>
    <w:rsid w:val="00FD49D8"/>
    <w:rsid w:val="00FD58BD"/>
    <w:rsid w:val="00FD68F1"/>
    <w:rsid w:val="00FD69E3"/>
    <w:rsid w:val="00FD6D63"/>
    <w:rsid w:val="00FD6E71"/>
    <w:rsid w:val="00FD6E85"/>
    <w:rsid w:val="00FD7339"/>
    <w:rsid w:val="00FE0322"/>
    <w:rsid w:val="00FE0BFB"/>
    <w:rsid w:val="00FE0DDE"/>
    <w:rsid w:val="00FE0F62"/>
    <w:rsid w:val="00FE25DB"/>
    <w:rsid w:val="00FE2E9F"/>
    <w:rsid w:val="00FE32EC"/>
    <w:rsid w:val="00FE35D5"/>
    <w:rsid w:val="00FE38DA"/>
    <w:rsid w:val="00FE3A9A"/>
    <w:rsid w:val="00FE4034"/>
    <w:rsid w:val="00FE481F"/>
    <w:rsid w:val="00FE48C1"/>
    <w:rsid w:val="00FE4E93"/>
    <w:rsid w:val="00FE4EB2"/>
    <w:rsid w:val="00FE4F0A"/>
    <w:rsid w:val="00FE5049"/>
    <w:rsid w:val="00FE5786"/>
    <w:rsid w:val="00FE591A"/>
    <w:rsid w:val="00FE5C18"/>
    <w:rsid w:val="00FE5E63"/>
    <w:rsid w:val="00FE5F4C"/>
    <w:rsid w:val="00FE633D"/>
    <w:rsid w:val="00FE65F5"/>
    <w:rsid w:val="00FE67B2"/>
    <w:rsid w:val="00FE6FDD"/>
    <w:rsid w:val="00FE73F6"/>
    <w:rsid w:val="00FE7487"/>
    <w:rsid w:val="00FE756A"/>
    <w:rsid w:val="00FE7AC2"/>
    <w:rsid w:val="00FE7ADB"/>
    <w:rsid w:val="00FE7C3F"/>
    <w:rsid w:val="00FE7D3B"/>
    <w:rsid w:val="00FF031A"/>
    <w:rsid w:val="00FF052C"/>
    <w:rsid w:val="00FF098D"/>
    <w:rsid w:val="00FF0CC9"/>
    <w:rsid w:val="00FF113D"/>
    <w:rsid w:val="00FF1386"/>
    <w:rsid w:val="00FF1469"/>
    <w:rsid w:val="00FF1C68"/>
    <w:rsid w:val="00FF1C97"/>
    <w:rsid w:val="00FF2376"/>
    <w:rsid w:val="00FF28F1"/>
    <w:rsid w:val="00FF3066"/>
    <w:rsid w:val="00FF32FD"/>
    <w:rsid w:val="00FF3B92"/>
    <w:rsid w:val="00FF3F2A"/>
    <w:rsid w:val="00FF496D"/>
    <w:rsid w:val="00FF4EBD"/>
    <w:rsid w:val="00FF4F82"/>
    <w:rsid w:val="00FF5E0C"/>
    <w:rsid w:val="00FF6035"/>
    <w:rsid w:val="00FF61D3"/>
    <w:rsid w:val="00FF6DE7"/>
    <w:rsid w:val="00FF6E1B"/>
    <w:rsid w:val="00FF7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4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450"/>
    <w:rPr>
      <w:sz w:val="24"/>
      <w:szCs w:val="24"/>
      <w:lang w:val="nb-NO" w:eastAsia="nb-NO"/>
    </w:rPr>
  </w:style>
  <w:style w:type="paragraph" w:styleId="Overskrift1">
    <w:name w:val="heading 1"/>
    <w:basedOn w:val="Normal"/>
    <w:next w:val="Normal"/>
    <w:qFormat/>
    <w:rsid w:val="002A0130"/>
    <w:pPr>
      <w:keepNext/>
      <w:numPr>
        <w:numId w:val="1"/>
      </w:numPr>
      <w:overflowPunct w:val="0"/>
      <w:autoSpaceDE w:val="0"/>
      <w:autoSpaceDN w:val="0"/>
      <w:adjustRightInd w:val="0"/>
      <w:textAlignment w:val="baseline"/>
      <w:outlineLvl w:val="0"/>
    </w:pPr>
    <w:rPr>
      <w:caps/>
      <w:noProof/>
      <w:kern w:val="28"/>
      <w:szCs w:val="20"/>
      <w:lang w:val="en-GB" w:eastAsia="en-US"/>
    </w:rPr>
  </w:style>
  <w:style w:type="paragraph" w:styleId="Overskrift2">
    <w:name w:val="heading 2"/>
    <w:basedOn w:val="Normal"/>
    <w:next w:val="Normal"/>
    <w:qFormat/>
    <w:rsid w:val="007D36D9"/>
    <w:pPr>
      <w:keepNext/>
      <w:numPr>
        <w:ilvl w:val="1"/>
        <w:numId w:val="1"/>
      </w:numPr>
      <w:overflowPunct w:val="0"/>
      <w:autoSpaceDE w:val="0"/>
      <w:autoSpaceDN w:val="0"/>
      <w:adjustRightInd w:val="0"/>
      <w:textAlignment w:val="baseline"/>
      <w:outlineLvl w:val="1"/>
    </w:pPr>
    <w:rPr>
      <w:caps/>
      <w:szCs w:val="20"/>
      <w:lang w:eastAsia="en-US"/>
    </w:rPr>
  </w:style>
  <w:style w:type="paragraph" w:styleId="Overskrift3">
    <w:name w:val="heading 3"/>
    <w:basedOn w:val="Overskrift2"/>
    <w:next w:val="Normal"/>
    <w:qFormat/>
    <w:rsid w:val="007D36D9"/>
    <w:pPr>
      <w:numPr>
        <w:ilvl w:val="2"/>
      </w:numPr>
      <w:outlineLvl w:val="2"/>
    </w:pPr>
    <w:rPr>
      <w:i/>
      <w:u w:val="single"/>
    </w:rPr>
  </w:style>
  <w:style w:type="paragraph" w:styleId="Overskrift6">
    <w:name w:val="heading 6"/>
    <w:basedOn w:val="Normal"/>
    <w:next w:val="Normal"/>
    <w:link w:val="Overskrift6Tegn"/>
    <w:semiHidden/>
    <w:unhideWhenUsed/>
    <w:qFormat/>
    <w:rsid w:val="00E82456"/>
    <w:pPr>
      <w:spacing w:before="240" w:after="60"/>
      <w:outlineLvl w:val="5"/>
    </w:pPr>
    <w:rPr>
      <w:rFonts w:asciiTheme="minorHAnsi" w:eastAsiaTheme="minorEastAsia" w:hAnsiTheme="minorHAnsi" w:cstheme="minorBidi"/>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766AD3"/>
    <w:pPr>
      <w:tabs>
        <w:tab w:val="center" w:pos="4536"/>
        <w:tab w:val="right" w:pos="9072"/>
      </w:tabs>
    </w:pPr>
  </w:style>
  <w:style w:type="paragraph" w:styleId="Bunntekst">
    <w:name w:val="footer"/>
    <w:basedOn w:val="Normal"/>
    <w:link w:val="BunntekstTegn"/>
    <w:uiPriority w:val="99"/>
    <w:rsid w:val="00766AD3"/>
    <w:pPr>
      <w:tabs>
        <w:tab w:val="center" w:pos="4536"/>
        <w:tab w:val="right" w:pos="9072"/>
      </w:tabs>
    </w:pPr>
  </w:style>
  <w:style w:type="character" w:styleId="Sidetall">
    <w:name w:val="page number"/>
    <w:basedOn w:val="Standardskriftforavsnitt"/>
    <w:rsid w:val="00E052E9"/>
  </w:style>
  <w:style w:type="paragraph" w:styleId="Dokumentkart">
    <w:name w:val="Document Map"/>
    <w:basedOn w:val="Normal"/>
    <w:semiHidden/>
    <w:rsid w:val="00FA3687"/>
    <w:pPr>
      <w:shd w:val="clear" w:color="auto" w:fill="000080"/>
    </w:pPr>
    <w:rPr>
      <w:rFonts w:ascii="Tahoma" w:hAnsi="Tahoma" w:cs="Tahoma"/>
      <w:sz w:val="20"/>
      <w:szCs w:val="20"/>
    </w:rPr>
  </w:style>
  <w:style w:type="paragraph" w:styleId="Fotnotetekst">
    <w:name w:val="footnote text"/>
    <w:basedOn w:val="Normal"/>
    <w:link w:val="FotnotetekstTegn"/>
    <w:qFormat/>
    <w:rsid w:val="006B489D"/>
    <w:rPr>
      <w:sz w:val="22"/>
      <w:szCs w:val="20"/>
    </w:rPr>
  </w:style>
  <w:style w:type="character" w:styleId="Fotnotereferanse">
    <w:name w:val="footnote reference"/>
    <w:rsid w:val="00F50D57"/>
    <w:rPr>
      <w:vertAlign w:val="superscript"/>
    </w:rPr>
  </w:style>
  <w:style w:type="character" w:styleId="Hyperkobling">
    <w:name w:val="Hyperlink"/>
    <w:uiPriority w:val="99"/>
    <w:rsid w:val="00395202"/>
    <w:rPr>
      <w:color w:val="0000FF"/>
      <w:u w:val="single"/>
    </w:rPr>
  </w:style>
  <w:style w:type="paragraph" w:styleId="Brdtekst">
    <w:name w:val="Body Text"/>
    <w:basedOn w:val="Normal"/>
    <w:rsid w:val="00D56BE3"/>
    <w:pPr>
      <w:spacing w:after="120"/>
    </w:pPr>
  </w:style>
  <w:style w:type="paragraph" w:styleId="Dato">
    <w:name w:val="Date"/>
    <w:basedOn w:val="Normal"/>
    <w:next w:val="Normal"/>
    <w:rsid w:val="009E1662"/>
  </w:style>
  <w:style w:type="table" w:styleId="Tabellrutenett">
    <w:name w:val="Table Grid"/>
    <w:basedOn w:val="Vanligtabell"/>
    <w:uiPriority w:val="59"/>
    <w:rsid w:val="006E3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tnotetekstTegn">
    <w:name w:val="Fotnotetekst Tegn"/>
    <w:link w:val="Fotnotetekst"/>
    <w:locked/>
    <w:rsid w:val="006B489D"/>
    <w:rPr>
      <w:sz w:val="22"/>
      <w:lang w:val="nb-NO" w:eastAsia="nb-NO"/>
    </w:rPr>
  </w:style>
  <w:style w:type="character" w:styleId="Uthevet">
    <w:name w:val="Emphasis"/>
    <w:qFormat/>
    <w:rsid w:val="004C3E59"/>
    <w:rPr>
      <w:b/>
      <w:bCs/>
      <w:i w:val="0"/>
      <w:iCs w:val="0"/>
    </w:rPr>
  </w:style>
  <w:style w:type="character" w:customStyle="1" w:styleId="st1">
    <w:name w:val="st1"/>
    <w:basedOn w:val="Standardskriftforavsnitt"/>
    <w:rsid w:val="004C3E59"/>
  </w:style>
  <w:style w:type="character" w:styleId="Fulgthyperkobling">
    <w:name w:val="FollowedHyperlink"/>
    <w:rsid w:val="003C7BEF"/>
    <w:rPr>
      <w:color w:val="800080"/>
      <w:u w:val="single"/>
    </w:rPr>
  </w:style>
  <w:style w:type="paragraph" w:styleId="Bobletekst">
    <w:name w:val="Balloon Text"/>
    <w:basedOn w:val="Normal"/>
    <w:link w:val="BobletekstTegn"/>
    <w:rsid w:val="008F3804"/>
    <w:rPr>
      <w:rFonts w:ascii="Tahoma" w:hAnsi="Tahoma" w:cs="Tahoma"/>
      <w:sz w:val="16"/>
      <w:szCs w:val="16"/>
    </w:rPr>
  </w:style>
  <w:style w:type="character" w:customStyle="1" w:styleId="BobletekstTegn">
    <w:name w:val="Bobletekst Tegn"/>
    <w:link w:val="Bobletekst"/>
    <w:rsid w:val="008F3804"/>
    <w:rPr>
      <w:rFonts w:ascii="Tahoma" w:hAnsi="Tahoma" w:cs="Tahoma"/>
      <w:sz w:val="16"/>
      <w:szCs w:val="16"/>
      <w:lang w:val="en-US"/>
    </w:rPr>
  </w:style>
  <w:style w:type="paragraph" w:styleId="Normalweb">
    <w:name w:val="Normal (Web)"/>
    <w:basedOn w:val="Normal"/>
    <w:uiPriority w:val="99"/>
    <w:unhideWhenUsed/>
    <w:rsid w:val="006D0FFF"/>
    <w:pPr>
      <w:spacing w:before="180"/>
    </w:pPr>
  </w:style>
  <w:style w:type="character" w:customStyle="1" w:styleId="inlinedtitle1">
    <w:name w:val="inlined_title1"/>
    <w:rsid w:val="00E30E16"/>
    <w:rPr>
      <w:b/>
      <w:bCs/>
    </w:rPr>
  </w:style>
  <w:style w:type="character" w:customStyle="1" w:styleId="Overskrift6Tegn">
    <w:name w:val="Overskrift 6 Tegn"/>
    <w:basedOn w:val="Standardskriftforavsnitt"/>
    <w:link w:val="Overskrift6"/>
    <w:semiHidden/>
    <w:rsid w:val="00E82456"/>
    <w:rPr>
      <w:rFonts w:asciiTheme="minorHAnsi" w:eastAsiaTheme="minorEastAsia" w:hAnsiTheme="minorHAnsi" w:cstheme="minorBidi"/>
      <w:b/>
      <w:bCs/>
      <w:sz w:val="22"/>
      <w:szCs w:val="22"/>
      <w:lang w:eastAsia="nb-NO"/>
    </w:rPr>
  </w:style>
  <w:style w:type="character" w:customStyle="1" w:styleId="FootnoteTextChar1">
    <w:name w:val="Footnote Text Char1"/>
    <w:semiHidden/>
    <w:locked/>
    <w:rsid w:val="00680F40"/>
    <w:rPr>
      <w:sz w:val="18"/>
    </w:rPr>
  </w:style>
  <w:style w:type="paragraph" w:styleId="Listeavsnitt">
    <w:name w:val="List Paragraph"/>
    <w:basedOn w:val="Normal"/>
    <w:uiPriority w:val="34"/>
    <w:qFormat/>
    <w:rsid w:val="003E0415"/>
    <w:pPr>
      <w:ind w:left="720"/>
      <w:contextualSpacing/>
    </w:pPr>
  </w:style>
  <w:style w:type="character" w:customStyle="1" w:styleId="BunntekstTegn">
    <w:name w:val="Bunntekst Tegn"/>
    <w:basedOn w:val="Standardskriftforavsnitt"/>
    <w:link w:val="Bunntekst"/>
    <w:uiPriority w:val="99"/>
    <w:rsid w:val="00151EEB"/>
    <w:rPr>
      <w:sz w:val="24"/>
      <w:szCs w:val="24"/>
      <w:lang w:val="nb-NO" w:eastAsia="nb-NO"/>
    </w:rPr>
  </w:style>
  <w:style w:type="paragraph" w:styleId="Overskriftforinnholdsfortegnelse">
    <w:name w:val="TOC Heading"/>
    <w:basedOn w:val="Overskrift1"/>
    <w:next w:val="Normal"/>
    <w:uiPriority w:val="39"/>
    <w:semiHidden/>
    <w:unhideWhenUsed/>
    <w:qFormat/>
    <w:rsid w:val="00B44485"/>
    <w:pPr>
      <w:keepLines/>
      <w:numPr>
        <w:numId w:val="0"/>
      </w:numPr>
      <w:overflowPunct/>
      <w:autoSpaceDE/>
      <w:autoSpaceDN/>
      <w:adjustRightInd/>
      <w:spacing w:before="480" w:line="276" w:lineRule="auto"/>
      <w:textAlignment w:val="auto"/>
      <w:outlineLvl w:val="9"/>
    </w:pPr>
    <w:rPr>
      <w:rFonts w:asciiTheme="majorHAnsi" w:eastAsiaTheme="majorEastAsia" w:hAnsiTheme="majorHAnsi" w:cstheme="majorBidi"/>
      <w:bCs/>
      <w:noProof w:val="0"/>
      <w:color w:val="365F91" w:themeColor="accent1" w:themeShade="BF"/>
      <w:kern w:val="0"/>
      <w:szCs w:val="28"/>
      <w:lang w:val="en-US" w:eastAsia="ja-JP"/>
    </w:rPr>
  </w:style>
  <w:style w:type="paragraph" w:styleId="INNH1">
    <w:name w:val="toc 1"/>
    <w:basedOn w:val="Normal"/>
    <w:next w:val="Normal"/>
    <w:autoRedefine/>
    <w:uiPriority w:val="39"/>
    <w:rsid w:val="00B44485"/>
    <w:pPr>
      <w:spacing w:after="100"/>
    </w:pPr>
  </w:style>
  <w:style w:type="paragraph" w:styleId="INNH2">
    <w:name w:val="toc 2"/>
    <w:basedOn w:val="Normal"/>
    <w:next w:val="Normal"/>
    <w:autoRedefine/>
    <w:uiPriority w:val="39"/>
    <w:rsid w:val="00B44485"/>
    <w:pPr>
      <w:spacing w:after="100"/>
      <w:ind w:left="240"/>
    </w:pPr>
  </w:style>
  <w:style w:type="paragraph" w:styleId="INNH3">
    <w:name w:val="toc 3"/>
    <w:basedOn w:val="Normal"/>
    <w:next w:val="Normal"/>
    <w:autoRedefine/>
    <w:uiPriority w:val="39"/>
    <w:rsid w:val="00B44485"/>
    <w:pPr>
      <w:spacing w:after="100"/>
      <w:ind w:left="480"/>
    </w:pPr>
  </w:style>
  <w:style w:type="character" w:styleId="Merknadsreferanse">
    <w:name w:val="annotation reference"/>
    <w:basedOn w:val="Standardskriftforavsnitt"/>
    <w:rsid w:val="00077088"/>
    <w:rPr>
      <w:sz w:val="16"/>
      <w:szCs w:val="16"/>
    </w:rPr>
  </w:style>
  <w:style w:type="paragraph" w:styleId="Merknadstekst">
    <w:name w:val="annotation text"/>
    <w:basedOn w:val="Normal"/>
    <w:link w:val="MerknadstekstTegn"/>
    <w:rsid w:val="00077088"/>
    <w:pPr>
      <w:spacing w:line="240" w:lineRule="auto"/>
    </w:pPr>
    <w:rPr>
      <w:sz w:val="20"/>
      <w:szCs w:val="20"/>
    </w:rPr>
  </w:style>
  <w:style w:type="character" w:customStyle="1" w:styleId="MerknadstekstTegn">
    <w:name w:val="Merknadstekst Tegn"/>
    <w:basedOn w:val="Standardskriftforavsnitt"/>
    <w:link w:val="Merknadstekst"/>
    <w:rsid w:val="00077088"/>
    <w:rPr>
      <w:lang w:val="nb-NO" w:eastAsia="nb-NO"/>
    </w:rPr>
  </w:style>
  <w:style w:type="paragraph" w:styleId="Kommentaremne">
    <w:name w:val="annotation subject"/>
    <w:basedOn w:val="Merknadstekst"/>
    <w:next w:val="Merknadstekst"/>
    <w:link w:val="KommentaremneTegn"/>
    <w:rsid w:val="00077088"/>
    <w:rPr>
      <w:b/>
      <w:bCs/>
    </w:rPr>
  </w:style>
  <w:style w:type="character" w:customStyle="1" w:styleId="KommentaremneTegn">
    <w:name w:val="Kommentaremne Tegn"/>
    <w:basedOn w:val="MerknadstekstTegn"/>
    <w:link w:val="Kommentaremne"/>
    <w:rsid w:val="00077088"/>
    <w:rPr>
      <w:b/>
      <w:bCs/>
      <w:lang w:val="nb-NO" w:eastAsia="nb-NO"/>
    </w:rPr>
  </w:style>
  <w:style w:type="paragraph" w:styleId="Revisjon">
    <w:name w:val="Revision"/>
    <w:hidden/>
    <w:uiPriority w:val="99"/>
    <w:semiHidden/>
    <w:rsid w:val="0092069D"/>
    <w:pPr>
      <w:spacing w:line="240" w:lineRule="auto"/>
    </w:pPr>
    <w:rPr>
      <w:sz w:val="24"/>
      <w:szCs w:val="24"/>
      <w:lang w:val="nb-NO" w:eastAsia="nb-NO"/>
    </w:rPr>
  </w:style>
  <w:style w:type="paragraph" w:styleId="Rentekst">
    <w:name w:val="Plain Text"/>
    <w:basedOn w:val="Normal"/>
    <w:link w:val="RentekstTegn"/>
    <w:uiPriority w:val="99"/>
    <w:unhideWhenUsed/>
    <w:rsid w:val="00B65767"/>
    <w:pPr>
      <w:spacing w:line="240" w:lineRule="auto"/>
    </w:pPr>
    <w:rPr>
      <w:rFonts w:ascii="Calibri" w:eastAsiaTheme="minorHAnsi" w:hAnsi="Calibri" w:cstheme="minorBidi"/>
      <w:sz w:val="22"/>
      <w:szCs w:val="21"/>
      <w:lang w:val="en-US" w:eastAsia="en-US"/>
    </w:rPr>
  </w:style>
  <w:style w:type="character" w:customStyle="1" w:styleId="RentekstTegn">
    <w:name w:val="Ren tekst Tegn"/>
    <w:basedOn w:val="Standardskriftforavsnitt"/>
    <w:link w:val="Rentekst"/>
    <w:uiPriority w:val="99"/>
    <w:rsid w:val="00B65767"/>
    <w:rPr>
      <w:rFonts w:ascii="Calibri" w:eastAsiaTheme="minorHAnsi" w:hAnsi="Calibri" w:cstheme="minorBidi"/>
      <w:sz w:val="22"/>
      <w:szCs w:val="21"/>
    </w:rPr>
  </w:style>
  <w:style w:type="character" w:styleId="Sterk">
    <w:name w:val="Strong"/>
    <w:basedOn w:val="Standardskriftforavsnitt"/>
    <w:qFormat/>
    <w:rsid w:val="007D36D9"/>
    <w:rPr>
      <w:rFonts w:ascii="Times New Roman" w:hAnsi="Times New Roman"/>
      <w:b w:val="0"/>
      <w:bCs/>
      <w:i w:val="0"/>
      <w:caps/>
      <w:smallCaps w:val="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450"/>
    <w:rPr>
      <w:sz w:val="24"/>
      <w:szCs w:val="24"/>
      <w:lang w:val="nb-NO" w:eastAsia="nb-NO"/>
    </w:rPr>
  </w:style>
  <w:style w:type="paragraph" w:styleId="Overskrift1">
    <w:name w:val="heading 1"/>
    <w:basedOn w:val="Normal"/>
    <w:next w:val="Normal"/>
    <w:qFormat/>
    <w:rsid w:val="002A0130"/>
    <w:pPr>
      <w:keepNext/>
      <w:numPr>
        <w:numId w:val="1"/>
      </w:numPr>
      <w:overflowPunct w:val="0"/>
      <w:autoSpaceDE w:val="0"/>
      <w:autoSpaceDN w:val="0"/>
      <w:adjustRightInd w:val="0"/>
      <w:textAlignment w:val="baseline"/>
      <w:outlineLvl w:val="0"/>
    </w:pPr>
    <w:rPr>
      <w:caps/>
      <w:noProof/>
      <w:kern w:val="28"/>
      <w:szCs w:val="20"/>
      <w:lang w:val="en-GB" w:eastAsia="en-US"/>
    </w:rPr>
  </w:style>
  <w:style w:type="paragraph" w:styleId="Overskrift2">
    <w:name w:val="heading 2"/>
    <w:basedOn w:val="Normal"/>
    <w:next w:val="Normal"/>
    <w:qFormat/>
    <w:rsid w:val="007D36D9"/>
    <w:pPr>
      <w:keepNext/>
      <w:numPr>
        <w:ilvl w:val="1"/>
        <w:numId w:val="1"/>
      </w:numPr>
      <w:overflowPunct w:val="0"/>
      <w:autoSpaceDE w:val="0"/>
      <w:autoSpaceDN w:val="0"/>
      <w:adjustRightInd w:val="0"/>
      <w:textAlignment w:val="baseline"/>
      <w:outlineLvl w:val="1"/>
    </w:pPr>
    <w:rPr>
      <w:caps/>
      <w:szCs w:val="20"/>
      <w:lang w:eastAsia="en-US"/>
    </w:rPr>
  </w:style>
  <w:style w:type="paragraph" w:styleId="Overskrift3">
    <w:name w:val="heading 3"/>
    <w:basedOn w:val="Overskrift2"/>
    <w:next w:val="Normal"/>
    <w:qFormat/>
    <w:rsid w:val="007D36D9"/>
    <w:pPr>
      <w:numPr>
        <w:ilvl w:val="2"/>
      </w:numPr>
      <w:outlineLvl w:val="2"/>
    </w:pPr>
    <w:rPr>
      <w:i/>
      <w:u w:val="single"/>
    </w:rPr>
  </w:style>
  <w:style w:type="paragraph" w:styleId="Overskrift6">
    <w:name w:val="heading 6"/>
    <w:basedOn w:val="Normal"/>
    <w:next w:val="Normal"/>
    <w:link w:val="Overskrift6Tegn"/>
    <w:semiHidden/>
    <w:unhideWhenUsed/>
    <w:qFormat/>
    <w:rsid w:val="00E82456"/>
    <w:pPr>
      <w:spacing w:before="240" w:after="60"/>
      <w:outlineLvl w:val="5"/>
    </w:pPr>
    <w:rPr>
      <w:rFonts w:asciiTheme="minorHAnsi" w:eastAsiaTheme="minorEastAsia" w:hAnsiTheme="minorHAnsi" w:cstheme="minorBidi"/>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766AD3"/>
    <w:pPr>
      <w:tabs>
        <w:tab w:val="center" w:pos="4536"/>
        <w:tab w:val="right" w:pos="9072"/>
      </w:tabs>
    </w:pPr>
  </w:style>
  <w:style w:type="paragraph" w:styleId="Bunntekst">
    <w:name w:val="footer"/>
    <w:basedOn w:val="Normal"/>
    <w:link w:val="BunntekstTegn"/>
    <w:uiPriority w:val="99"/>
    <w:rsid w:val="00766AD3"/>
    <w:pPr>
      <w:tabs>
        <w:tab w:val="center" w:pos="4536"/>
        <w:tab w:val="right" w:pos="9072"/>
      </w:tabs>
    </w:pPr>
  </w:style>
  <w:style w:type="character" w:styleId="Sidetall">
    <w:name w:val="page number"/>
    <w:basedOn w:val="Standardskriftforavsnitt"/>
    <w:rsid w:val="00E052E9"/>
  </w:style>
  <w:style w:type="paragraph" w:styleId="Dokumentkart">
    <w:name w:val="Document Map"/>
    <w:basedOn w:val="Normal"/>
    <w:semiHidden/>
    <w:rsid w:val="00FA3687"/>
    <w:pPr>
      <w:shd w:val="clear" w:color="auto" w:fill="000080"/>
    </w:pPr>
    <w:rPr>
      <w:rFonts w:ascii="Tahoma" w:hAnsi="Tahoma" w:cs="Tahoma"/>
      <w:sz w:val="20"/>
      <w:szCs w:val="20"/>
    </w:rPr>
  </w:style>
  <w:style w:type="paragraph" w:styleId="Fotnotetekst">
    <w:name w:val="footnote text"/>
    <w:basedOn w:val="Normal"/>
    <w:link w:val="FotnotetekstTegn"/>
    <w:qFormat/>
    <w:rsid w:val="006B489D"/>
    <w:rPr>
      <w:sz w:val="22"/>
      <w:szCs w:val="20"/>
    </w:rPr>
  </w:style>
  <w:style w:type="character" w:styleId="Fotnotereferanse">
    <w:name w:val="footnote reference"/>
    <w:rsid w:val="00F50D57"/>
    <w:rPr>
      <w:vertAlign w:val="superscript"/>
    </w:rPr>
  </w:style>
  <w:style w:type="character" w:styleId="Hyperkobling">
    <w:name w:val="Hyperlink"/>
    <w:uiPriority w:val="99"/>
    <w:rsid w:val="00395202"/>
    <w:rPr>
      <w:color w:val="0000FF"/>
      <w:u w:val="single"/>
    </w:rPr>
  </w:style>
  <w:style w:type="paragraph" w:styleId="Brdtekst">
    <w:name w:val="Body Text"/>
    <w:basedOn w:val="Normal"/>
    <w:rsid w:val="00D56BE3"/>
    <w:pPr>
      <w:spacing w:after="120"/>
    </w:pPr>
  </w:style>
  <w:style w:type="paragraph" w:styleId="Dato">
    <w:name w:val="Date"/>
    <w:basedOn w:val="Normal"/>
    <w:next w:val="Normal"/>
    <w:rsid w:val="009E1662"/>
  </w:style>
  <w:style w:type="table" w:styleId="Tabellrutenett">
    <w:name w:val="Table Grid"/>
    <w:basedOn w:val="Vanligtabell"/>
    <w:uiPriority w:val="59"/>
    <w:rsid w:val="006E3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tnotetekstTegn">
    <w:name w:val="Fotnotetekst Tegn"/>
    <w:link w:val="Fotnotetekst"/>
    <w:locked/>
    <w:rsid w:val="006B489D"/>
    <w:rPr>
      <w:sz w:val="22"/>
      <w:lang w:val="nb-NO" w:eastAsia="nb-NO"/>
    </w:rPr>
  </w:style>
  <w:style w:type="character" w:styleId="Uthevet">
    <w:name w:val="Emphasis"/>
    <w:qFormat/>
    <w:rsid w:val="004C3E59"/>
    <w:rPr>
      <w:b/>
      <w:bCs/>
      <w:i w:val="0"/>
      <w:iCs w:val="0"/>
    </w:rPr>
  </w:style>
  <w:style w:type="character" w:customStyle="1" w:styleId="st1">
    <w:name w:val="st1"/>
    <w:basedOn w:val="Standardskriftforavsnitt"/>
    <w:rsid w:val="004C3E59"/>
  </w:style>
  <w:style w:type="character" w:styleId="Fulgthyperkobling">
    <w:name w:val="FollowedHyperlink"/>
    <w:rsid w:val="003C7BEF"/>
    <w:rPr>
      <w:color w:val="800080"/>
      <w:u w:val="single"/>
    </w:rPr>
  </w:style>
  <w:style w:type="paragraph" w:styleId="Bobletekst">
    <w:name w:val="Balloon Text"/>
    <w:basedOn w:val="Normal"/>
    <w:link w:val="BobletekstTegn"/>
    <w:rsid w:val="008F3804"/>
    <w:rPr>
      <w:rFonts w:ascii="Tahoma" w:hAnsi="Tahoma" w:cs="Tahoma"/>
      <w:sz w:val="16"/>
      <w:szCs w:val="16"/>
    </w:rPr>
  </w:style>
  <w:style w:type="character" w:customStyle="1" w:styleId="BobletekstTegn">
    <w:name w:val="Bobletekst Tegn"/>
    <w:link w:val="Bobletekst"/>
    <w:rsid w:val="008F3804"/>
    <w:rPr>
      <w:rFonts w:ascii="Tahoma" w:hAnsi="Tahoma" w:cs="Tahoma"/>
      <w:sz w:val="16"/>
      <w:szCs w:val="16"/>
      <w:lang w:val="en-US"/>
    </w:rPr>
  </w:style>
  <w:style w:type="paragraph" w:styleId="Normalweb">
    <w:name w:val="Normal (Web)"/>
    <w:basedOn w:val="Normal"/>
    <w:uiPriority w:val="99"/>
    <w:unhideWhenUsed/>
    <w:rsid w:val="006D0FFF"/>
    <w:pPr>
      <w:spacing w:before="180"/>
    </w:pPr>
  </w:style>
  <w:style w:type="character" w:customStyle="1" w:styleId="inlinedtitle1">
    <w:name w:val="inlined_title1"/>
    <w:rsid w:val="00E30E16"/>
    <w:rPr>
      <w:b/>
      <w:bCs/>
    </w:rPr>
  </w:style>
  <w:style w:type="character" w:customStyle="1" w:styleId="Overskrift6Tegn">
    <w:name w:val="Overskrift 6 Tegn"/>
    <w:basedOn w:val="Standardskriftforavsnitt"/>
    <w:link w:val="Overskrift6"/>
    <w:semiHidden/>
    <w:rsid w:val="00E82456"/>
    <w:rPr>
      <w:rFonts w:asciiTheme="minorHAnsi" w:eastAsiaTheme="minorEastAsia" w:hAnsiTheme="minorHAnsi" w:cstheme="minorBidi"/>
      <w:b/>
      <w:bCs/>
      <w:sz w:val="22"/>
      <w:szCs w:val="22"/>
      <w:lang w:eastAsia="nb-NO"/>
    </w:rPr>
  </w:style>
  <w:style w:type="character" w:customStyle="1" w:styleId="FootnoteTextChar1">
    <w:name w:val="Footnote Text Char1"/>
    <w:semiHidden/>
    <w:locked/>
    <w:rsid w:val="00680F40"/>
    <w:rPr>
      <w:sz w:val="18"/>
    </w:rPr>
  </w:style>
  <w:style w:type="paragraph" w:styleId="Listeavsnitt">
    <w:name w:val="List Paragraph"/>
    <w:basedOn w:val="Normal"/>
    <w:uiPriority w:val="34"/>
    <w:qFormat/>
    <w:rsid w:val="003E0415"/>
    <w:pPr>
      <w:ind w:left="720"/>
      <w:contextualSpacing/>
    </w:pPr>
  </w:style>
  <w:style w:type="character" w:customStyle="1" w:styleId="BunntekstTegn">
    <w:name w:val="Bunntekst Tegn"/>
    <w:basedOn w:val="Standardskriftforavsnitt"/>
    <w:link w:val="Bunntekst"/>
    <w:uiPriority w:val="99"/>
    <w:rsid w:val="00151EEB"/>
    <w:rPr>
      <w:sz w:val="24"/>
      <w:szCs w:val="24"/>
      <w:lang w:val="nb-NO" w:eastAsia="nb-NO"/>
    </w:rPr>
  </w:style>
  <w:style w:type="paragraph" w:styleId="Overskriftforinnholdsfortegnelse">
    <w:name w:val="TOC Heading"/>
    <w:basedOn w:val="Overskrift1"/>
    <w:next w:val="Normal"/>
    <w:uiPriority w:val="39"/>
    <w:semiHidden/>
    <w:unhideWhenUsed/>
    <w:qFormat/>
    <w:rsid w:val="00B44485"/>
    <w:pPr>
      <w:keepLines/>
      <w:numPr>
        <w:numId w:val="0"/>
      </w:numPr>
      <w:overflowPunct/>
      <w:autoSpaceDE/>
      <w:autoSpaceDN/>
      <w:adjustRightInd/>
      <w:spacing w:before="480" w:line="276" w:lineRule="auto"/>
      <w:textAlignment w:val="auto"/>
      <w:outlineLvl w:val="9"/>
    </w:pPr>
    <w:rPr>
      <w:rFonts w:asciiTheme="majorHAnsi" w:eastAsiaTheme="majorEastAsia" w:hAnsiTheme="majorHAnsi" w:cstheme="majorBidi"/>
      <w:bCs/>
      <w:noProof w:val="0"/>
      <w:color w:val="365F91" w:themeColor="accent1" w:themeShade="BF"/>
      <w:kern w:val="0"/>
      <w:szCs w:val="28"/>
      <w:lang w:val="en-US" w:eastAsia="ja-JP"/>
    </w:rPr>
  </w:style>
  <w:style w:type="paragraph" w:styleId="INNH1">
    <w:name w:val="toc 1"/>
    <w:basedOn w:val="Normal"/>
    <w:next w:val="Normal"/>
    <w:autoRedefine/>
    <w:uiPriority w:val="39"/>
    <w:rsid w:val="00B44485"/>
    <w:pPr>
      <w:spacing w:after="100"/>
    </w:pPr>
  </w:style>
  <w:style w:type="paragraph" w:styleId="INNH2">
    <w:name w:val="toc 2"/>
    <w:basedOn w:val="Normal"/>
    <w:next w:val="Normal"/>
    <w:autoRedefine/>
    <w:uiPriority w:val="39"/>
    <w:rsid w:val="00B44485"/>
    <w:pPr>
      <w:spacing w:after="100"/>
      <w:ind w:left="240"/>
    </w:pPr>
  </w:style>
  <w:style w:type="paragraph" w:styleId="INNH3">
    <w:name w:val="toc 3"/>
    <w:basedOn w:val="Normal"/>
    <w:next w:val="Normal"/>
    <w:autoRedefine/>
    <w:uiPriority w:val="39"/>
    <w:rsid w:val="00B44485"/>
    <w:pPr>
      <w:spacing w:after="100"/>
      <w:ind w:left="480"/>
    </w:pPr>
  </w:style>
  <w:style w:type="character" w:styleId="Merknadsreferanse">
    <w:name w:val="annotation reference"/>
    <w:basedOn w:val="Standardskriftforavsnitt"/>
    <w:rsid w:val="00077088"/>
    <w:rPr>
      <w:sz w:val="16"/>
      <w:szCs w:val="16"/>
    </w:rPr>
  </w:style>
  <w:style w:type="paragraph" w:styleId="Merknadstekst">
    <w:name w:val="annotation text"/>
    <w:basedOn w:val="Normal"/>
    <w:link w:val="MerknadstekstTegn"/>
    <w:rsid w:val="00077088"/>
    <w:pPr>
      <w:spacing w:line="240" w:lineRule="auto"/>
    </w:pPr>
    <w:rPr>
      <w:sz w:val="20"/>
      <w:szCs w:val="20"/>
    </w:rPr>
  </w:style>
  <w:style w:type="character" w:customStyle="1" w:styleId="MerknadstekstTegn">
    <w:name w:val="Merknadstekst Tegn"/>
    <w:basedOn w:val="Standardskriftforavsnitt"/>
    <w:link w:val="Merknadstekst"/>
    <w:rsid w:val="00077088"/>
    <w:rPr>
      <w:lang w:val="nb-NO" w:eastAsia="nb-NO"/>
    </w:rPr>
  </w:style>
  <w:style w:type="paragraph" w:styleId="Kommentaremne">
    <w:name w:val="annotation subject"/>
    <w:basedOn w:val="Merknadstekst"/>
    <w:next w:val="Merknadstekst"/>
    <w:link w:val="KommentaremneTegn"/>
    <w:rsid w:val="00077088"/>
    <w:rPr>
      <w:b/>
      <w:bCs/>
    </w:rPr>
  </w:style>
  <w:style w:type="character" w:customStyle="1" w:styleId="KommentaremneTegn">
    <w:name w:val="Kommentaremne Tegn"/>
    <w:basedOn w:val="MerknadstekstTegn"/>
    <w:link w:val="Kommentaremne"/>
    <w:rsid w:val="00077088"/>
    <w:rPr>
      <w:b/>
      <w:bCs/>
      <w:lang w:val="nb-NO" w:eastAsia="nb-NO"/>
    </w:rPr>
  </w:style>
  <w:style w:type="paragraph" w:styleId="Revisjon">
    <w:name w:val="Revision"/>
    <w:hidden/>
    <w:uiPriority w:val="99"/>
    <w:semiHidden/>
    <w:rsid w:val="0092069D"/>
    <w:pPr>
      <w:spacing w:line="240" w:lineRule="auto"/>
    </w:pPr>
    <w:rPr>
      <w:sz w:val="24"/>
      <w:szCs w:val="24"/>
      <w:lang w:val="nb-NO" w:eastAsia="nb-NO"/>
    </w:rPr>
  </w:style>
  <w:style w:type="paragraph" w:styleId="Rentekst">
    <w:name w:val="Plain Text"/>
    <w:basedOn w:val="Normal"/>
    <w:link w:val="RentekstTegn"/>
    <w:uiPriority w:val="99"/>
    <w:unhideWhenUsed/>
    <w:rsid w:val="00B65767"/>
    <w:pPr>
      <w:spacing w:line="240" w:lineRule="auto"/>
    </w:pPr>
    <w:rPr>
      <w:rFonts w:ascii="Calibri" w:eastAsiaTheme="minorHAnsi" w:hAnsi="Calibri" w:cstheme="minorBidi"/>
      <w:sz w:val="22"/>
      <w:szCs w:val="21"/>
      <w:lang w:val="en-US" w:eastAsia="en-US"/>
    </w:rPr>
  </w:style>
  <w:style w:type="character" w:customStyle="1" w:styleId="RentekstTegn">
    <w:name w:val="Ren tekst Tegn"/>
    <w:basedOn w:val="Standardskriftforavsnitt"/>
    <w:link w:val="Rentekst"/>
    <w:uiPriority w:val="99"/>
    <w:rsid w:val="00B65767"/>
    <w:rPr>
      <w:rFonts w:ascii="Calibri" w:eastAsiaTheme="minorHAnsi" w:hAnsi="Calibri" w:cstheme="minorBidi"/>
      <w:sz w:val="22"/>
      <w:szCs w:val="21"/>
    </w:rPr>
  </w:style>
  <w:style w:type="character" w:styleId="Sterk">
    <w:name w:val="Strong"/>
    <w:basedOn w:val="Standardskriftforavsnitt"/>
    <w:qFormat/>
    <w:rsid w:val="007D36D9"/>
    <w:rPr>
      <w:rFonts w:ascii="Times New Roman" w:hAnsi="Times New Roman"/>
      <w:b w:val="0"/>
      <w:bCs/>
      <w:i w:val="0"/>
      <w:caps/>
      <w:smallCap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5172">
      <w:bodyDiv w:val="1"/>
      <w:marLeft w:val="0"/>
      <w:marRight w:val="0"/>
      <w:marTop w:val="0"/>
      <w:marBottom w:val="0"/>
      <w:divBdr>
        <w:top w:val="none" w:sz="0" w:space="0" w:color="auto"/>
        <w:left w:val="none" w:sz="0" w:space="0" w:color="auto"/>
        <w:bottom w:val="none" w:sz="0" w:space="0" w:color="auto"/>
        <w:right w:val="none" w:sz="0" w:space="0" w:color="auto"/>
      </w:divBdr>
    </w:div>
    <w:div w:id="244536859">
      <w:bodyDiv w:val="1"/>
      <w:marLeft w:val="0"/>
      <w:marRight w:val="0"/>
      <w:marTop w:val="0"/>
      <w:marBottom w:val="0"/>
      <w:divBdr>
        <w:top w:val="none" w:sz="0" w:space="0" w:color="auto"/>
        <w:left w:val="none" w:sz="0" w:space="0" w:color="auto"/>
        <w:bottom w:val="none" w:sz="0" w:space="0" w:color="auto"/>
        <w:right w:val="none" w:sz="0" w:space="0" w:color="auto"/>
      </w:divBdr>
    </w:div>
    <w:div w:id="252512881">
      <w:bodyDiv w:val="1"/>
      <w:marLeft w:val="0"/>
      <w:marRight w:val="0"/>
      <w:marTop w:val="0"/>
      <w:marBottom w:val="0"/>
      <w:divBdr>
        <w:top w:val="none" w:sz="0" w:space="0" w:color="auto"/>
        <w:left w:val="none" w:sz="0" w:space="0" w:color="auto"/>
        <w:bottom w:val="none" w:sz="0" w:space="0" w:color="auto"/>
        <w:right w:val="none" w:sz="0" w:space="0" w:color="auto"/>
      </w:divBdr>
    </w:div>
    <w:div w:id="293558622">
      <w:bodyDiv w:val="1"/>
      <w:marLeft w:val="0"/>
      <w:marRight w:val="0"/>
      <w:marTop w:val="0"/>
      <w:marBottom w:val="0"/>
      <w:divBdr>
        <w:top w:val="none" w:sz="0" w:space="0" w:color="auto"/>
        <w:left w:val="none" w:sz="0" w:space="0" w:color="auto"/>
        <w:bottom w:val="none" w:sz="0" w:space="0" w:color="auto"/>
        <w:right w:val="none" w:sz="0" w:space="0" w:color="auto"/>
      </w:divBdr>
    </w:div>
    <w:div w:id="324018769">
      <w:bodyDiv w:val="1"/>
      <w:marLeft w:val="0"/>
      <w:marRight w:val="0"/>
      <w:marTop w:val="0"/>
      <w:marBottom w:val="0"/>
      <w:divBdr>
        <w:top w:val="none" w:sz="0" w:space="0" w:color="auto"/>
        <w:left w:val="none" w:sz="0" w:space="0" w:color="auto"/>
        <w:bottom w:val="none" w:sz="0" w:space="0" w:color="auto"/>
        <w:right w:val="none" w:sz="0" w:space="0" w:color="auto"/>
      </w:divBdr>
    </w:div>
    <w:div w:id="441729951">
      <w:bodyDiv w:val="1"/>
      <w:marLeft w:val="225"/>
      <w:marRight w:val="750"/>
      <w:marTop w:val="0"/>
      <w:marBottom w:val="0"/>
      <w:divBdr>
        <w:top w:val="none" w:sz="0" w:space="0" w:color="auto"/>
        <w:left w:val="none" w:sz="0" w:space="0" w:color="auto"/>
        <w:bottom w:val="none" w:sz="0" w:space="0" w:color="auto"/>
        <w:right w:val="none" w:sz="0" w:space="0" w:color="auto"/>
      </w:divBdr>
      <w:divsChild>
        <w:div w:id="56562346">
          <w:marLeft w:val="0"/>
          <w:marRight w:val="0"/>
          <w:marTop w:val="0"/>
          <w:marBottom w:val="0"/>
          <w:divBdr>
            <w:top w:val="none" w:sz="0" w:space="0" w:color="auto"/>
            <w:left w:val="none" w:sz="0" w:space="0" w:color="auto"/>
            <w:bottom w:val="none" w:sz="0" w:space="0" w:color="auto"/>
            <w:right w:val="none" w:sz="0" w:space="0" w:color="auto"/>
          </w:divBdr>
        </w:div>
      </w:divsChild>
    </w:div>
    <w:div w:id="541331291">
      <w:bodyDiv w:val="1"/>
      <w:marLeft w:val="0"/>
      <w:marRight w:val="0"/>
      <w:marTop w:val="0"/>
      <w:marBottom w:val="0"/>
      <w:divBdr>
        <w:top w:val="none" w:sz="0" w:space="0" w:color="auto"/>
        <w:left w:val="none" w:sz="0" w:space="0" w:color="auto"/>
        <w:bottom w:val="none" w:sz="0" w:space="0" w:color="auto"/>
        <w:right w:val="none" w:sz="0" w:space="0" w:color="auto"/>
      </w:divBdr>
    </w:div>
    <w:div w:id="707074370">
      <w:bodyDiv w:val="1"/>
      <w:marLeft w:val="0"/>
      <w:marRight w:val="0"/>
      <w:marTop w:val="0"/>
      <w:marBottom w:val="0"/>
      <w:divBdr>
        <w:top w:val="none" w:sz="0" w:space="0" w:color="auto"/>
        <w:left w:val="none" w:sz="0" w:space="0" w:color="auto"/>
        <w:bottom w:val="none" w:sz="0" w:space="0" w:color="auto"/>
        <w:right w:val="none" w:sz="0" w:space="0" w:color="auto"/>
      </w:divBdr>
    </w:div>
    <w:div w:id="810253277">
      <w:bodyDiv w:val="1"/>
      <w:marLeft w:val="0"/>
      <w:marRight w:val="0"/>
      <w:marTop w:val="0"/>
      <w:marBottom w:val="0"/>
      <w:divBdr>
        <w:top w:val="none" w:sz="0" w:space="0" w:color="auto"/>
        <w:left w:val="none" w:sz="0" w:space="0" w:color="auto"/>
        <w:bottom w:val="none" w:sz="0" w:space="0" w:color="auto"/>
        <w:right w:val="none" w:sz="0" w:space="0" w:color="auto"/>
      </w:divBdr>
    </w:div>
    <w:div w:id="922568614">
      <w:bodyDiv w:val="1"/>
      <w:marLeft w:val="0"/>
      <w:marRight w:val="0"/>
      <w:marTop w:val="0"/>
      <w:marBottom w:val="0"/>
      <w:divBdr>
        <w:top w:val="none" w:sz="0" w:space="0" w:color="auto"/>
        <w:left w:val="none" w:sz="0" w:space="0" w:color="auto"/>
        <w:bottom w:val="none" w:sz="0" w:space="0" w:color="auto"/>
        <w:right w:val="none" w:sz="0" w:space="0" w:color="auto"/>
      </w:divBdr>
    </w:div>
    <w:div w:id="1018577368">
      <w:bodyDiv w:val="1"/>
      <w:marLeft w:val="0"/>
      <w:marRight w:val="0"/>
      <w:marTop w:val="0"/>
      <w:marBottom w:val="0"/>
      <w:divBdr>
        <w:top w:val="none" w:sz="0" w:space="0" w:color="auto"/>
        <w:left w:val="none" w:sz="0" w:space="0" w:color="auto"/>
        <w:bottom w:val="none" w:sz="0" w:space="0" w:color="auto"/>
        <w:right w:val="none" w:sz="0" w:space="0" w:color="auto"/>
      </w:divBdr>
    </w:div>
    <w:div w:id="1022315828">
      <w:bodyDiv w:val="1"/>
      <w:marLeft w:val="0"/>
      <w:marRight w:val="0"/>
      <w:marTop w:val="0"/>
      <w:marBottom w:val="0"/>
      <w:divBdr>
        <w:top w:val="none" w:sz="0" w:space="0" w:color="auto"/>
        <w:left w:val="none" w:sz="0" w:space="0" w:color="auto"/>
        <w:bottom w:val="none" w:sz="0" w:space="0" w:color="auto"/>
        <w:right w:val="none" w:sz="0" w:space="0" w:color="auto"/>
      </w:divBdr>
    </w:div>
    <w:div w:id="1023703553">
      <w:bodyDiv w:val="1"/>
      <w:marLeft w:val="225"/>
      <w:marRight w:val="750"/>
      <w:marTop w:val="0"/>
      <w:marBottom w:val="0"/>
      <w:divBdr>
        <w:top w:val="none" w:sz="0" w:space="0" w:color="auto"/>
        <w:left w:val="none" w:sz="0" w:space="0" w:color="auto"/>
        <w:bottom w:val="none" w:sz="0" w:space="0" w:color="auto"/>
        <w:right w:val="none" w:sz="0" w:space="0" w:color="auto"/>
      </w:divBdr>
      <w:divsChild>
        <w:div w:id="1097143205">
          <w:marLeft w:val="0"/>
          <w:marRight w:val="0"/>
          <w:marTop w:val="0"/>
          <w:marBottom w:val="0"/>
          <w:divBdr>
            <w:top w:val="none" w:sz="0" w:space="0" w:color="auto"/>
            <w:left w:val="none" w:sz="0" w:space="0" w:color="auto"/>
            <w:bottom w:val="none" w:sz="0" w:space="0" w:color="auto"/>
            <w:right w:val="none" w:sz="0" w:space="0" w:color="auto"/>
          </w:divBdr>
        </w:div>
      </w:divsChild>
    </w:div>
    <w:div w:id="1103527615">
      <w:bodyDiv w:val="1"/>
      <w:marLeft w:val="0"/>
      <w:marRight w:val="0"/>
      <w:marTop w:val="0"/>
      <w:marBottom w:val="0"/>
      <w:divBdr>
        <w:top w:val="none" w:sz="0" w:space="0" w:color="auto"/>
        <w:left w:val="none" w:sz="0" w:space="0" w:color="auto"/>
        <w:bottom w:val="none" w:sz="0" w:space="0" w:color="auto"/>
        <w:right w:val="none" w:sz="0" w:space="0" w:color="auto"/>
      </w:divBdr>
    </w:div>
    <w:div w:id="1366518570">
      <w:bodyDiv w:val="1"/>
      <w:marLeft w:val="0"/>
      <w:marRight w:val="0"/>
      <w:marTop w:val="0"/>
      <w:marBottom w:val="0"/>
      <w:divBdr>
        <w:top w:val="none" w:sz="0" w:space="0" w:color="auto"/>
        <w:left w:val="none" w:sz="0" w:space="0" w:color="auto"/>
        <w:bottom w:val="none" w:sz="0" w:space="0" w:color="auto"/>
        <w:right w:val="none" w:sz="0" w:space="0" w:color="auto"/>
      </w:divBdr>
    </w:div>
    <w:div w:id="1383750480">
      <w:bodyDiv w:val="1"/>
      <w:marLeft w:val="0"/>
      <w:marRight w:val="0"/>
      <w:marTop w:val="0"/>
      <w:marBottom w:val="0"/>
      <w:divBdr>
        <w:top w:val="none" w:sz="0" w:space="0" w:color="auto"/>
        <w:left w:val="none" w:sz="0" w:space="0" w:color="auto"/>
        <w:bottom w:val="none" w:sz="0" w:space="0" w:color="auto"/>
        <w:right w:val="none" w:sz="0" w:space="0" w:color="auto"/>
      </w:divBdr>
    </w:div>
    <w:div w:id="1632710529">
      <w:bodyDiv w:val="1"/>
      <w:marLeft w:val="0"/>
      <w:marRight w:val="0"/>
      <w:marTop w:val="0"/>
      <w:marBottom w:val="0"/>
      <w:divBdr>
        <w:top w:val="none" w:sz="0" w:space="0" w:color="auto"/>
        <w:left w:val="none" w:sz="0" w:space="0" w:color="auto"/>
        <w:bottom w:val="none" w:sz="0" w:space="0" w:color="auto"/>
        <w:right w:val="none" w:sz="0" w:space="0" w:color="auto"/>
      </w:divBdr>
    </w:div>
    <w:div w:id="1655066367">
      <w:bodyDiv w:val="1"/>
      <w:marLeft w:val="0"/>
      <w:marRight w:val="0"/>
      <w:marTop w:val="0"/>
      <w:marBottom w:val="0"/>
      <w:divBdr>
        <w:top w:val="none" w:sz="0" w:space="0" w:color="auto"/>
        <w:left w:val="none" w:sz="0" w:space="0" w:color="auto"/>
        <w:bottom w:val="none" w:sz="0" w:space="0" w:color="auto"/>
        <w:right w:val="none" w:sz="0" w:space="0" w:color="auto"/>
      </w:divBdr>
    </w:div>
    <w:div w:id="1729186716">
      <w:bodyDiv w:val="1"/>
      <w:marLeft w:val="0"/>
      <w:marRight w:val="0"/>
      <w:marTop w:val="0"/>
      <w:marBottom w:val="0"/>
      <w:divBdr>
        <w:top w:val="none" w:sz="0" w:space="0" w:color="auto"/>
        <w:left w:val="none" w:sz="0" w:space="0" w:color="auto"/>
        <w:bottom w:val="none" w:sz="0" w:space="0" w:color="auto"/>
        <w:right w:val="none" w:sz="0" w:space="0" w:color="auto"/>
      </w:divBdr>
    </w:div>
    <w:div w:id="1760174415">
      <w:bodyDiv w:val="1"/>
      <w:marLeft w:val="0"/>
      <w:marRight w:val="0"/>
      <w:marTop w:val="0"/>
      <w:marBottom w:val="0"/>
      <w:divBdr>
        <w:top w:val="none" w:sz="0" w:space="0" w:color="auto"/>
        <w:left w:val="none" w:sz="0" w:space="0" w:color="auto"/>
        <w:bottom w:val="none" w:sz="0" w:space="0" w:color="auto"/>
        <w:right w:val="none" w:sz="0" w:space="0" w:color="auto"/>
      </w:divBdr>
    </w:div>
    <w:div w:id="1760786517">
      <w:bodyDiv w:val="1"/>
      <w:marLeft w:val="0"/>
      <w:marRight w:val="0"/>
      <w:marTop w:val="0"/>
      <w:marBottom w:val="0"/>
      <w:divBdr>
        <w:top w:val="none" w:sz="0" w:space="0" w:color="auto"/>
        <w:left w:val="none" w:sz="0" w:space="0" w:color="auto"/>
        <w:bottom w:val="none" w:sz="0" w:space="0" w:color="auto"/>
        <w:right w:val="none" w:sz="0" w:space="0" w:color="auto"/>
      </w:divBdr>
    </w:div>
    <w:div w:id="1807505268">
      <w:bodyDiv w:val="1"/>
      <w:marLeft w:val="0"/>
      <w:marRight w:val="0"/>
      <w:marTop w:val="0"/>
      <w:marBottom w:val="0"/>
      <w:divBdr>
        <w:top w:val="none" w:sz="0" w:space="0" w:color="auto"/>
        <w:left w:val="none" w:sz="0" w:space="0" w:color="auto"/>
        <w:bottom w:val="none" w:sz="0" w:space="0" w:color="auto"/>
        <w:right w:val="none" w:sz="0" w:space="0" w:color="auto"/>
      </w:divBdr>
    </w:div>
    <w:div w:id="1893343101">
      <w:bodyDiv w:val="1"/>
      <w:marLeft w:val="0"/>
      <w:marRight w:val="0"/>
      <w:marTop w:val="0"/>
      <w:marBottom w:val="0"/>
      <w:divBdr>
        <w:top w:val="none" w:sz="0" w:space="0" w:color="auto"/>
        <w:left w:val="none" w:sz="0" w:space="0" w:color="auto"/>
        <w:bottom w:val="none" w:sz="0" w:space="0" w:color="auto"/>
        <w:right w:val="none" w:sz="0" w:space="0" w:color="auto"/>
      </w:divBdr>
    </w:div>
    <w:div w:id="2001930693">
      <w:bodyDiv w:val="1"/>
      <w:marLeft w:val="0"/>
      <w:marRight w:val="0"/>
      <w:marTop w:val="0"/>
      <w:marBottom w:val="0"/>
      <w:divBdr>
        <w:top w:val="none" w:sz="0" w:space="0" w:color="auto"/>
        <w:left w:val="none" w:sz="0" w:space="0" w:color="auto"/>
        <w:bottom w:val="none" w:sz="0" w:space="0" w:color="auto"/>
        <w:right w:val="none" w:sz="0" w:space="0" w:color="auto"/>
      </w:divBdr>
    </w:div>
    <w:div w:id="2018196108">
      <w:bodyDiv w:val="1"/>
      <w:marLeft w:val="0"/>
      <w:marRight w:val="0"/>
      <w:marTop w:val="0"/>
      <w:marBottom w:val="0"/>
      <w:divBdr>
        <w:top w:val="none" w:sz="0" w:space="0" w:color="auto"/>
        <w:left w:val="none" w:sz="0" w:space="0" w:color="auto"/>
        <w:bottom w:val="none" w:sz="0" w:space="0" w:color="auto"/>
        <w:right w:val="none" w:sz="0" w:space="0" w:color="auto"/>
      </w:divBdr>
    </w:div>
    <w:div w:id="20370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55B9F-F728-CD43-9FE0-48985913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2793</Words>
  <Characters>14808</Characters>
  <Application>Microsoft Macintosh Word</Application>
  <DocSecurity>0</DocSecurity>
  <Lines>123</Lines>
  <Paragraphs>35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Justices' Ideology</vt:lpstr>
      <vt:lpstr>Justices' Ideology</vt:lpstr>
    </vt:vector>
  </TitlesOfParts>
  <Company>IT-avd, UiB</Company>
  <LinksUpToDate>false</LinksUpToDate>
  <CharactersWithSpaces>17566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Justices' Ideology</dc:title>
  <dc:creator>sspgg</dc:creator>
  <cp:lastModifiedBy>Jon Kåre Skiple</cp:lastModifiedBy>
  <cp:revision>2</cp:revision>
  <cp:lastPrinted>2014-05-18T06:37:00Z</cp:lastPrinted>
  <dcterms:created xsi:type="dcterms:W3CDTF">2015-12-23T15:52:00Z</dcterms:created>
  <dcterms:modified xsi:type="dcterms:W3CDTF">2015-12-23T15:52:00Z</dcterms:modified>
</cp:coreProperties>
</file>